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1A97" w:rsidR="00F54AFF" w:rsidP="0064352A" w:rsidRDefault="0064006A" w14:paraId="425A0FEA" w14:textId="70EF5E25">
      <w:pPr>
        <w:pStyle w:val="Kop1"/>
        <w:numPr>
          <w:ilvl w:val="0"/>
          <w:numId w:val="0"/>
        </w:numPr>
        <w:spacing w:after="0" w:line="360" w:lineRule="auto"/>
        <w:rPr>
          <w:rFonts w:ascii="Verdana" w:hAnsi="Verdana"/>
          <w:sz w:val="18"/>
          <w:szCs w:val="18"/>
          <w:lang w:val="en-US"/>
        </w:rPr>
      </w:pPr>
      <w:r w:rsidRPr="00531A97">
        <w:rPr>
          <w:rFonts w:ascii="Verdana" w:hAnsi="Verdana"/>
          <w:b/>
          <w:sz w:val="18"/>
          <w:szCs w:val="18"/>
          <w:lang w:val="en-US"/>
        </w:rPr>
        <w:t>F</w:t>
      </w:r>
      <w:r w:rsidRPr="00531A97" w:rsidR="00F54AFF">
        <w:rPr>
          <w:rFonts w:ascii="Verdana" w:hAnsi="Verdana"/>
          <w:b/>
          <w:sz w:val="18"/>
          <w:szCs w:val="18"/>
          <w:lang w:val="en-US"/>
        </w:rPr>
        <w:t>iche</w:t>
      </w:r>
      <w:r w:rsidRPr="00531A97">
        <w:rPr>
          <w:rFonts w:ascii="Verdana" w:hAnsi="Verdana"/>
          <w:b/>
          <w:sz w:val="18"/>
          <w:szCs w:val="18"/>
          <w:lang w:val="en-US"/>
        </w:rPr>
        <w:t xml:space="preserve"> </w:t>
      </w:r>
      <w:r w:rsidR="00373F99">
        <w:rPr>
          <w:rFonts w:ascii="Verdana" w:hAnsi="Verdana"/>
          <w:b/>
          <w:sz w:val="18"/>
          <w:szCs w:val="18"/>
          <w:lang w:val="en-US"/>
        </w:rPr>
        <w:t>5</w:t>
      </w:r>
      <w:r w:rsidRPr="00531A97">
        <w:rPr>
          <w:rFonts w:ascii="Verdana" w:hAnsi="Verdana"/>
          <w:b/>
          <w:sz w:val="18"/>
          <w:szCs w:val="18"/>
          <w:lang w:val="en-US"/>
        </w:rPr>
        <w:t xml:space="preserve">: </w:t>
      </w:r>
      <w:r w:rsidRPr="00DC6797" w:rsidR="00531A97">
        <w:rPr>
          <w:rFonts w:ascii="Verdana" w:hAnsi="Verdana"/>
          <w:b/>
          <w:sz w:val="18"/>
          <w:szCs w:val="18"/>
          <w:lang w:val="en-US"/>
        </w:rPr>
        <w:t>Mededeling</w:t>
      </w:r>
      <w:r w:rsidRPr="00531A97" w:rsidR="00531A97">
        <w:rPr>
          <w:rFonts w:ascii="Verdana" w:hAnsi="Verdana"/>
          <w:b/>
          <w:sz w:val="18"/>
          <w:szCs w:val="18"/>
          <w:lang w:val="en-US"/>
        </w:rPr>
        <w:t xml:space="preserve"> </w:t>
      </w:r>
      <w:r w:rsidRPr="00531A97" w:rsidR="00ED318C">
        <w:rPr>
          <w:rFonts w:ascii="Verdana" w:hAnsi="Verdana"/>
          <w:b/>
          <w:sz w:val="18"/>
          <w:szCs w:val="18"/>
          <w:lang w:val="en-US"/>
        </w:rPr>
        <w:t xml:space="preserve">Cybersecurity Skills </w:t>
      </w:r>
      <w:r w:rsidRPr="00DC6797" w:rsidR="00531A97">
        <w:rPr>
          <w:rFonts w:ascii="Verdana" w:hAnsi="Verdana"/>
          <w:b/>
          <w:sz w:val="18"/>
          <w:szCs w:val="18"/>
          <w:lang w:val="en-US"/>
        </w:rPr>
        <w:t>Academie</w:t>
      </w:r>
    </w:p>
    <w:p w:rsidRPr="00531A97" w:rsidR="00F54AFF" w:rsidP="0064352A" w:rsidRDefault="00F54AFF" w14:paraId="14215010" w14:textId="77777777">
      <w:pPr>
        <w:spacing w:line="360" w:lineRule="auto"/>
        <w:rPr>
          <w:rFonts w:ascii="Verdana" w:hAnsi="Verdana"/>
          <w:b/>
          <w:sz w:val="18"/>
          <w:szCs w:val="18"/>
          <w:u w:val="single"/>
          <w:lang w:val="en-US"/>
        </w:rPr>
      </w:pPr>
    </w:p>
    <w:p w:rsidRPr="000D01B7" w:rsidR="000D01B7" w:rsidP="000D01B7" w:rsidRDefault="00F54AFF" w14:paraId="5D09374C"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00F54AFF" w:rsidP="00EF5C95" w:rsidRDefault="00F54AFF" w14:paraId="459B555F"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Pr="00531A97" w:rsidR="00531A97" w:rsidP="00ED318C" w:rsidRDefault="00101DA0" w14:paraId="7326F387" w14:textId="77777777">
      <w:pPr>
        <w:spacing w:line="360" w:lineRule="auto"/>
        <w:rPr>
          <w:rFonts w:ascii="Verdana" w:hAnsi="Verdana"/>
          <w:sz w:val="18"/>
          <w:szCs w:val="18"/>
        </w:rPr>
      </w:pPr>
      <w:r>
        <w:rPr>
          <w:rFonts w:ascii="Verdana" w:hAnsi="Verdana"/>
          <w:sz w:val="18"/>
          <w:szCs w:val="18"/>
        </w:rPr>
        <w:t>MEDE</w:t>
      </w:r>
      <w:r w:rsidR="00826B7A">
        <w:rPr>
          <w:rFonts w:ascii="Verdana" w:hAnsi="Verdana"/>
          <w:sz w:val="18"/>
          <w:szCs w:val="18"/>
        </w:rPr>
        <w:t>DE</w:t>
      </w:r>
      <w:r>
        <w:rPr>
          <w:rFonts w:ascii="Verdana" w:hAnsi="Verdana"/>
          <w:sz w:val="18"/>
          <w:szCs w:val="18"/>
        </w:rPr>
        <w:t>LING</w:t>
      </w:r>
      <w:r w:rsidRPr="00531A97" w:rsidR="00531A97">
        <w:rPr>
          <w:rFonts w:ascii="Verdana" w:hAnsi="Verdana"/>
          <w:sz w:val="18"/>
          <w:szCs w:val="18"/>
        </w:rPr>
        <w:t xml:space="preserve"> VAN DE COMMISSIE A</w:t>
      </w:r>
      <w:r w:rsidR="00531A97">
        <w:rPr>
          <w:rFonts w:ascii="Verdana" w:hAnsi="Verdana"/>
          <w:sz w:val="18"/>
          <w:szCs w:val="18"/>
        </w:rPr>
        <w:t xml:space="preserve">AN HET EUROPEES PARLEMENT EN DE RAAD inzake het verkleinen van het tekort aan cybersecurity </w:t>
      </w:r>
      <w:r w:rsidR="003A5C75">
        <w:rPr>
          <w:rFonts w:ascii="Verdana" w:hAnsi="Verdana"/>
          <w:sz w:val="18"/>
          <w:szCs w:val="18"/>
        </w:rPr>
        <w:t>professionals</w:t>
      </w:r>
      <w:r w:rsidR="00531A97">
        <w:rPr>
          <w:rFonts w:ascii="Verdana" w:hAnsi="Verdana"/>
          <w:sz w:val="18"/>
          <w:szCs w:val="18"/>
        </w:rPr>
        <w:t xml:space="preserve"> om het concurrentievermogen, de groei en de weerbaarheid van de EU te stimuleren (‘De Cybersecurity Skills Academie)</w:t>
      </w:r>
    </w:p>
    <w:p w:rsidRPr="003A5C75" w:rsidR="00ED318C" w:rsidP="00ED318C" w:rsidRDefault="00ED318C" w14:paraId="38596FF7" w14:textId="77777777">
      <w:pPr>
        <w:spacing w:line="360" w:lineRule="auto"/>
        <w:rPr>
          <w:rFonts w:ascii="Verdana" w:hAnsi="Verdana"/>
          <w:i/>
          <w:iCs/>
          <w:sz w:val="18"/>
          <w:szCs w:val="18"/>
        </w:rPr>
      </w:pPr>
    </w:p>
    <w:p w:rsidR="00F54AFF" w:rsidP="00EF5C95" w:rsidRDefault="00F54AFF" w14:paraId="5A291C30" w14:textId="77777777">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00ED318C" w:rsidP="00ED318C" w:rsidRDefault="00ED318C" w14:paraId="762B45E2" w14:textId="77777777">
      <w:pPr>
        <w:spacing w:line="360" w:lineRule="auto"/>
        <w:rPr>
          <w:rFonts w:ascii="Verdana" w:hAnsi="Verdana"/>
          <w:sz w:val="18"/>
          <w:szCs w:val="18"/>
        </w:rPr>
      </w:pPr>
      <w:r>
        <w:rPr>
          <w:rFonts w:ascii="Verdana" w:hAnsi="Verdana"/>
          <w:sz w:val="18"/>
          <w:szCs w:val="18"/>
        </w:rPr>
        <w:t>18 april 2023</w:t>
      </w:r>
    </w:p>
    <w:p w:rsidRPr="00ED318C" w:rsidR="00ED318C" w:rsidP="00ED318C" w:rsidRDefault="00ED318C" w14:paraId="7524F73E" w14:textId="77777777">
      <w:pPr>
        <w:spacing w:line="360" w:lineRule="auto"/>
        <w:rPr>
          <w:rFonts w:ascii="Verdana" w:hAnsi="Verdana"/>
          <w:sz w:val="18"/>
          <w:szCs w:val="18"/>
        </w:rPr>
      </w:pPr>
    </w:p>
    <w:p w:rsidR="00F54AFF" w:rsidP="00EF5C95" w:rsidRDefault="00F54AFF" w14:paraId="262E0760"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Pr="00ED318C" w:rsidR="00ED318C" w:rsidP="00ED318C" w:rsidRDefault="00ED318C" w14:paraId="4EDDBF79" w14:textId="77777777">
      <w:pPr>
        <w:spacing w:line="360" w:lineRule="auto"/>
        <w:rPr>
          <w:rFonts w:ascii="Verdana" w:hAnsi="Verdana"/>
          <w:sz w:val="18"/>
          <w:szCs w:val="18"/>
        </w:rPr>
      </w:pPr>
      <w:r w:rsidRPr="00ED318C">
        <w:rPr>
          <w:rFonts w:ascii="Verdana" w:hAnsi="Verdana"/>
          <w:sz w:val="18"/>
          <w:szCs w:val="18"/>
        </w:rPr>
        <w:t>COM(2023) 207</w:t>
      </w:r>
    </w:p>
    <w:p w:rsidRPr="00EF5C95" w:rsidR="00ED318C" w:rsidP="00ED318C" w:rsidRDefault="00ED318C" w14:paraId="2C075761" w14:textId="77777777">
      <w:pPr>
        <w:spacing w:line="360" w:lineRule="auto"/>
        <w:rPr>
          <w:rFonts w:ascii="Verdana" w:hAnsi="Verdana"/>
          <w:i/>
          <w:iCs/>
          <w:sz w:val="18"/>
          <w:szCs w:val="18"/>
        </w:rPr>
      </w:pPr>
    </w:p>
    <w:p w:rsidR="00F54AFF" w:rsidP="00EF5C95" w:rsidRDefault="001D558D" w14:paraId="30AFF696"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D757DE" w:rsidR="00ED318C" w:rsidP="00ED318C" w:rsidRDefault="00895D18" w14:paraId="6993A3DE" w14:textId="77777777">
      <w:pPr>
        <w:spacing w:line="360" w:lineRule="auto"/>
        <w:rPr>
          <w:rFonts w:ascii="Verdana" w:hAnsi="Verdana"/>
          <w:sz w:val="14"/>
          <w:szCs w:val="14"/>
          <w:lang w:val="fr-FR"/>
        </w:rPr>
      </w:pPr>
      <w:hyperlink w:history="1" r:id="rId12">
        <w:r w:rsidRPr="00D757DE" w:rsidR="00D43C5D">
          <w:rPr>
            <w:rStyle w:val="Hyperlink"/>
            <w:rFonts w:ascii="Verdana" w:hAnsi="Verdana"/>
            <w:sz w:val="18"/>
            <w:szCs w:val="16"/>
            <w:lang w:val="fr-FR"/>
          </w:rPr>
          <w:t>EUR-Lex - 52023DC0207 - EN - EUR-Lex (europa.eu)</w:t>
        </w:r>
      </w:hyperlink>
    </w:p>
    <w:p w:rsidRPr="00D757DE" w:rsidR="00ED318C" w:rsidP="00ED318C" w:rsidRDefault="00ED318C" w14:paraId="60027182" w14:textId="77777777">
      <w:pPr>
        <w:spacing w:line="360" w:lineRule="auto"/>
        <w:rPr>
          <w:rFonts w:ascii="Verdana" w:hAnsi="Verdana"/>
          <w:i/>
          <w:iCs/>
          <w:sz w:val="18"/>
          <w:szCs w:val="18"/>
          <w:lang w:val="fr-FR"/>
        </w:rPr>
      </w:pPr>
    </w:p>
    <w:p w:rsidR="00EA4C91" w:rsidP="00EA4C91" w:rsidRDefault="00F54AFF" w14:paraId="58C97DB7"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Nr. impact assessment Commissie en Opinie</w:t>
      </w:r>
      <w:r w:rsidRPr="00EA4C91" w:rsidR="00FE7565">
        <w:rPr>
          <w:rFonts w:ascii="Verdana" w:hAnsi="Verdana"/>
          <w:i/>
          <w:iCs/>
          <w:sz w:val="18"/>
          <w:szCs w:val="18"/>
          <w:lang w:val="fr-FR"/>
        </w:rPr>
        <w:t xml:space="preserve"> </w:t>
      </w:r>
    </w:p>
    <w:p w:rsidRPr="00C07F5C" w:rsidR="00C07F5C" w:rsidP="00C07F5C" w:rsidRDefault="00C07F5C" w14:paraId="44E8A820" w14:textId="77777777">
      <w:pPr>
        <w:spacing w:line="360" w:lineRule="auto"/>
        <w:rPr>
          <w:rFonts w:ascii="Verdana" w:hAnsi="Verdana"/>
          <w:sz w:val="18"/>
          <w:szCs w:val="18"/>
          <w:lang w:val="fr-FR"/>
        </w:rPr>
      </w:pPr>
      <w:r>
        <w:rPr>
          <w:rFonts w:ascii="Verdana" w:hAnsi="Verdana"/>
          <w:sz w:val="18"/>
          <w:szCs w:val="18"/>
          <w:lang w:val="fr-FR"/>
        </w:rPr>
        <w:t xml:space="preserve">Niet </w:t>
      </w:r>
      <w:r w:rsidRPr="00230CB4">
        <w:rPr>
          <w:rFonts w:ascii="Verdana" w:hAnsi="Verdana"/>
          <w:sz w:val="18"/>
          <w:szCs w:val="18"/>
        </w:rPr>
        <w:t>opgesteld</w:t>
      </w:r>
    </w:p>
    <w:p w:rsidRPr="00EA4C91" w:rsidR="00C07F5C" w:rsidP="00C07F5C" w:rsidRDefault="00C07F5C" w14:paraId="2C86BAE1" w14:textId="77777777">
      <w:pPr>
        <w:spacing w:line="360" w:lineRule="auto"/>
        <w:rPr>
          <w:rFonts w:ascii="Verdana" w:hAnsi="Verdana"/>
          <w:i/>
          <w:iCs/>
          <w:sz w:val="18"/>
          <w:szCs w:val="18"/>
          <w:lang w:val="fr-FR"/>
        </w:rPr>
      </w:pPr>
    </w:p>
    <w:p w:rsidR="00F54AFF" w:rsidP="00EA4C91" w:rsidRDefault="00F54AFF" w14:paraId="47BC08C1"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C07F5C" w:rsidR="00D7410F" w:rsidP="00D7410F" w:rsidRDefault="00D7410F" w14:paraId="13A8A4BD" w14:textId="77777777">
      <w:pPr>
        <w:spacing w:line="360" w:lineRule="auto"/>
        <w:rPr>
          <w:rFonts w:ascii="Verdana" w:hAnsi="Verdana"/>
          <w:sz w:val="18"/>
          <w:szCs w:val="18"/>
        </w:rPr>
      </w:pPr>
      <w:r w:rsidRPr="00DD7D55">
        <w:rPr>
          <w:rFonts w:ascii="Verdana" w:hAnsi="Verdana"/>
          <w:sz w:val="18"/>
          <w:szCs w:val="18"/>
        </w:rPr>
        <w:t>Raad voor Vervoer, Telecommunicatie en Energie (Telecomraad)</w:t>
      </w:r>
    </w:p>
    <w:p w:rsidRPr="00C07F5C" w:rsidR="00C07F5C" w:rsidP="00C07F5C" w:rsidRDefault="00C07F5C" w14:paraId="47C4AB38" w14:textId="77777777">
      <w:pPr>
        <w:spacing w:line="360" w:lineRule="auto"/>
        <w:rPr>
          <w:rFonts w:ascii="Verdana" w:hAnsi="Verdana"/>
          <w:sz w:val="18"/>
          <w:szCs w:val="18"/>
        </w:rPr>
      </w:pPr>
    </w:p>
    <w:p w:rsidR="000D01B7" w:rsidP="00EF5C95" w:rsidRDefault="000D01B7" w14:paraId="5EE964E6" w14:textId="77777777">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Pr="00C07F5C" w:rsidR="00C07F5C" w:rsidP="00C07F5C" w:rsidRDefault="00C07F5C" w14:paraId="3AD0B86D" w14:textId="77777777">
      <w:pPr>
        <w:spacing w:line="360" w:lineRule="auto"/>
        <w:rPr>
          <w:rFonts w:ascii="Verdana" w:hAnsi="Verdana"/>
          <w:iCs/>
          <w:sz w:val="18"/>
          <w:szCs w:val="18"/>
        </w:rPr>
      </w:pPr>
      <w:r>
        <w:rPr>
          <w:rFonts w:ascii="Verdana" w:hAnsi="Verdana"/>
          <w:iCs/>
          <w:sz w:val="18"/>
          <w:szCs w:val="18"/>
        </w:rPr>
        <w:t>Ministerie van Economische Zaken en Klimaat</w:t>
      </w:r>
    </w:p>
    <w:p w:rsidRPr="00066C36" w:rsidR="00066C36" w:rsidP="00071F9B" w:rsidRDefault="00066C36" w14:paraId="74400483" w14:textId="77777777">
      <w:pPr>
        <w:spacing w:line="360" w:lineRule="auto"/>
        <w:rPr>
          <w:rFonts w:ascii="Verdana" w:hAnsi="Verdana"/>
          <w:sz w:val="18"/>
          <w:szCs w:val="18"/>
        </w:rPr>
      </w:pPr>
    </w:p>
    <w:p w:rsidR="00F54AFF" w:rsidP="000D01B7" w:rsidRDefault="008528D9" w14:paraId="56FA0A67" w14:textId="77777777">
      <w:pPr>
        <w:numPr>
          <w:ilvl w:val="0"/>
          <w:numId w:val="15"/>
        </w:numPr>
        <w:spacing w:line="360" w:lineRule="auto"/>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00256993" w:rsidP="00256993" w:rsidRDefault="008256C8" w14:paraId="516DF226" w14:textId="77777777">
      <w:pPr>
        <w:spacing w:line="360" w:lineRule="auto"/>
        <w:rPr>
          <w:rFonts w:ascii="Verdana" w:hAnsi="Verdana"/>
          <w:bCs/>
          <w:sz w:val="18"/>
          <w:szCs w:val="18"/>
        </w:rPr>
      </w:pPr>
      <w:r>
        <w:rPr>
          <w:rFonts w:ascii="Verdana" w:hAnsi="Verdana"/>
          <w:bCs/>
          <w:sz w:val="18"/>
          <w:szCs w:val="18"/>
        </w:rPr>
        <w:t xml:space="preserve">Op 18 april 2023 heeft de Europese Commissie (hierna: de Commissie) een pakket gepubliceerd met daarin een tweetal </w:t>
      </w:r>
      <w:r w:rsidR="00641C9F">
        <w:rPr>
          <w:rFonts w:ascii="Verdana" w:hAnsi="Verdana"/>
          <w:bCs/>
          <w:sz w:val="18"/>
          <w:szCs w:val="18"/>
        </w:rPr>
        <w:t xml:space="preserve">wetgevende </w:t>
      </w:r>
      <w:r>
        <w:rPr>
          <w:rFonts w:ascii="Verdana" w:hAnsi="Verdana"/>
          <w:bCs/>
          <w:sz w:val="18"/>
          <w:szCs w:val="18"/>
        </w:rPr>
        <w:t xml:space="preserve">voorstellen en een mededeling op het gebied van cybersecurity. Over </w:t>
      </w:r>
      <w:r w:rsidR="00CB3182">
        <w:rPr>
          <w:rFonts w:ascii="Verdana" w:hAnsi="Verdana"/>
          <w:bCs/>
          <w:sz w:val="18"/>
          <w:szCs w:val="18"/>
        </w:rPr>
        <w:t xml:space="preserve">de voorstellen voor een </w:t>
      </w:r>
      <w:r w:rsidRPr="00B04745" w:rsidR="00CB3182">
        <w:rPr>
          <w:rFonts w:ascii="Verdana" w:hAnsi="Verdana"/>
          <w:sz w:val="18"/>
          <w:szCs w:val="18"/>
        </w:rPr>
        <w:t>Cybersolidariteitsverordening</w:t>
      </w:r>
      <w:r w:rsidR="005D3ACC">
        <w:rPr>
          <w:rStyle w:val="Voetnootmarkering"/>
          <w:rFonts w:ascii="Verdana" w:hAnsi="Verdana"/>
          <w:sz w:val="18"/>
          <w:szCs w:val="18"/>
        </w:rPr>
        <w:footnoteReference w:id="1"/>
      </w:r>
      <w:r w:rsidRPr="00B04745" w:rsidR="00CB3182">
        <w:rPr>
          <w:rFonts w:ascii="Verdana" w:hAnsi="Verdana"/>
          <w:sz w:val="18"/>
          <w:szCs w:val="18"/>
        </w:rPr>
        <w:t xml:space="preserve"> </w:t>
      </w:r>
      <w:r w:rsidR="00CB3182">
        <w:rPr>
          <w:rFonts w:ascii="Verdana" w:hAnsi="Verdana"/>
          <w:bCs/>
          <w:sz w:val="18"/>
          <w:szCs w:val="18"/>
        </w:rPr>
        <w:t xml:space="preserve">en een </w:t>
      </w:r>
      <w:r w:rsidRPr="00B04745" w:rsidR="00CB3182">
        <w:rPr>
          <w:rFonts w:ascii="Verdana" w:hAnsi="Verdana"/>
          <w:sz w:val="18"/>
          <w:szCs w:val="18"/>
        </w:rPr>
        <w:t xml:space="preserve">amendement </w:t>
      </w:r>
      <w:r w:rsidR="00CB3182">
        <w:rPr>
          <w:rFonts w:ascii="Verdana" w:hAnsi="Verdana"/>
          <w:bCs/>
          <w:sz w:val="18"/>
          <w:szCs w:val="18"/>
        </w:rPr>
        <w:t xml:space="preserve">van de </w:t>
      </w:r>
      <w:r w:rsidR="00B33B22">
        <w:rPr>
          <w:rFonts w:ascii="Verdana" w:hAnsi="Verdana"/>
          <w:bCs/>
          <w:sz w:val="18"/>
          <w:szCs w:val="18"/>
        </w:rPr>
        <w:t>Cyberbeveiligingsverordening (Cybersecurity Act, CSA)</w:t>
      </w:r>
      <w:r w:rsidR="005D3ACC">
        <w:rPr>
          <w:rStyle w:val="Voetnootmarkering"/>
          <w:rFonts w:ascii="Verdana" w:hAnsi="Verdana"/>
          <w:bCs/>
          <w:i/>
          <w:iCs/>
          <w:sz w:val="18"/>
          <w:szCs w:val="18"/>
        </w:rPr>
        <w:footnoteReference w:id="2"/>
      </w:r>
      <w:r>
        <w:rPr>
          <w:rFonts w:ascii="Verdana" w:hAnsi="Verdana"/>
          <w:bCs/>
          <w:sz w:val="18"/>
          <w:szCs w:val="18"/>
        </w:rPr>
        <w:t xml:space="preserve"> wordt uw Kamer </w:t>
      </w:r>
      <w:r w:rsidR="00A35C00">
        <w:rPr>
          <w:rFonts w:ascii="Verdana" w:hAnsi="Verdana"/>
          <w:bCs/>
          <w:sz w:val="18"/>
          <w:szCs w:val="18"/>
        </w:rPr>
        <w:t xml:space="preserve">gelijktijdig </w:t>
      </w:r>
      <w:r>
        <w:rPr>
          <w:rFonts w:ascii="Verdana" w:hAnsi="Verdana"/>
          <w:bCs/>
          <w:sz w:val="18"/>
          <w:szCs w:val="18"/>
        </w:rPr>
        <w:t>middels apart</w:t>
      </w:r>
      <w:r w:rsidR="00CB3182">
        <w:rPr>
          <w:rFonts w:ascii="Verdana" w:hAnsi="Verdana"/>
          <w:bCs/>
          <w:sz w:val="18"/>
          <w:szCs w:val="18"/>
        </w:rPr>
        <w:t>e</w:t>
      </w:r>
      <w:r>
        <w:rPr>
          <w:rFonts w:ascii="Verdana" w:hAnsi="Verdana"/>
          <w:bCs/>
          <w:sz w:val="18"/>
          <w:szCs w:val="18"/>
        </w:rPr>
        <w:t xml:space="preserve"> BNC-fiche</w:t>
      </w:r>
      <w:r w:rsidR="00CB3182">
        <w:rPr>
          <w:rFonts w:ascii="Verdana" w:hAnsi="Verdana"/>
          <w:bCs/>
          <w:sz w:val="18"/>
          <w:szCs w:val="18"/>
        </w:rPr>
        <w:t>s</w:t>
      </w:r>
      <w:r>
        <w:rPr>
          <w:rFonts w:ascii="Verdana" w:hAnsi="Verdana"/>
          <w:bCs/>
          <w:sz w:val="18"/>
          <w:szCs w:val="18"/>
        </w:rPr>
        <w:t xml:space="preserve"> geïnformeerd. </w:t>
      </w:r>
      <w:r w:rsidR="00CB3182">
        <w:rPr>
          <w:rFonts w:ascii="Verdana" w:hAnsi="Verdana"/>
          <w:bCs/>
          <w:sz w:val="18"/>
          <w:szCs w:val="18"/>
        </w:rPr>
        <w:t>Onderdeel</w:t>
      </w:r>
      <w:r>
        <w:rPr>
          <w:rFonts w:ascii="Verdana" w:hAnsi="Verdana"/>
          <w:bCs/>
          <w:sz w:val="18"/>
          <w:szCs w:val="18"/>
        </w:rPr>
        <w:t xml:space="preserve"> van </w:t>
      </w:r>
      <w:r w:rsidR="00CB3182">
        <w:rPr>
          <w:rFonts w:ascii="Verdana" w:hAnsi="Verdana"/>
          <w:bCs/>
          <w:sz w:val="18"/>
          <w:szCs w:val="18"/>
        </w:rPr>
        <w:t>het</w:t>
      </w:r>
      <w:r>
        <w:rPr>
          <w:rFonts w:ascii="Verdana" w:hAnsi="Verdana"/>
          <w:bCs/>
          <w:sz w:val="18"/>
          <w:szCs w:val="18"/>
        </w:rPr>
        <w:t xml:space="preserve"> pakket is een mededeling voor de </w:t>
      </w:r>
      <w:r w:rsidRPr="00136255" w:rsidR="00256993">
        <w:rPr>
          <w:rFonts w:ascii="Verdana" w:hAnsi="Verdana"/>
          <w:bCs/>
          <w:i/>
          <w:iCs/>
          <w:sz w:val="18"/>
          <w:szCs w:val="18"/>
        </w:rPr>
        <w:t>Cybersecurity Skills Academy</w:t>
      </w:r>
      <w:r w:rsidR="00136255">
        <w:rPr>
          <w:rFonts w:ascii="Verdana" w:hAnsi="Verdana"/>
          <w:bCs/>
          <w:sz w:val="18"/>
          <w:szCs w:val="18"/>
        </w:rPr>
        <w:t xml:space="preserve"> (</w:t>
      </w:r>
      <w:r w:rsidR="00641C9F">
        <w:rPr>
          <w:rFonts w:ascii="Verdana" w:hAnsi="Verdana"/>
          <w:bCs/>
          <w:sz w:val="18"/>
          <w:szCs w:val="18"/>
        </w:rPr>
        <w:t xml:space="preserve">hierna: </w:t>
      </w:r>
      <w:r w:rsidR="00136255">
        <w:rPr>
          <w:rFonts w:ascii="Verdana" w:hAnsi="Verdana"/>
          <w:bCs/>
          <w:sz w:val="18"/>
          <w:szCs w:val="18"/>
        </w:rPr>
        <w:t>de Academie)</w:t>
      </w:r>
      <w:r>
        <w:rPr>
          <w:rFonts w:ascii="Verdana" w:hAnsi="Verdana"/>
          <w:bCs/>
          <w:sz w:val="18"/>
          <w:szCs w:val="18"/>
        </w:rPr>
        <w:t>. Met de Academie</w:t>
      </w:r>
      <w:r w:rsidR="00256993">
        <w:rPr>
          <w:rFonts w:ascii="Verdana" w:hAnsi="Verdana"/>
          <w:bCs/>
          <w:sz w:val="18"/>
          <w:szCs w:val="18"/>
        </w:rPr>
        <w:t xml:space="preserve"> wil de Commissie het tekort aan gekwalificeerd</w:t>
      </w:r>
      <w:r w:rsidR="00865D72">
        <w:rPr>
          <w:rFonts w:ascii="Verdana" w:hAnsi="Verdana"/>
          <w:bCs/>
          <w:sz w:val="18"/>
          <w:szCs w:val="18"/>
        </w:rPr>
        <w:t>e</w:t>
      </w:r>
      <w:r w:rsidR="00256993">
        <w:rPr>
          <w:rFonts w:ascii="Verdana" w:hAnsi="Verdana"/>
          <w:bCs/>
          <w:sz w:val="18"/>
          <w:szCs w:val="18"/>
        </w:rPr>
        <w:t xml:space="preserve"> cybersecurityp</w:t>
      </w:r>
      <w:r w:rsidR="003A5C75">
        <w:rPr>
          <w:rFonts w:ascii="Verdana" w:hAnsi="Verdana"/>
          <w:bCs/>
          <w:sz w:val="18"/>
          <w:szCs w:val="18"/>
        </w:rPr>
        <w:t>rofessionals</w:t>
      </w:r>
      <w:r w:rsidR="00256993">
        <w:rPr>
          <w:rFonts w:ascii="Verdana" w:hAnsi="Verdana"/>
          <w:bCs/>
          <w:sz w:val="18"/>
          <w:szCs w:val="18"/>
        </w:rPr>
        <w:t xml:space="preserve"> op de Europese arbeidsmarkt verkleinen. </w:t>
      </w:r>
      <w:r w:rsidR="00531A97">
        <w:rPr>
          <w:rFonts w:ascii="Verdana" w:hAnsi="Verdana"/>
          <w:bCs/>
          <w:sz w:val="18"/>
          <w:szCs w:val="18"/>
        </w:rPr>
        <w:t>De EU</w:t>
      </w:r>
      <w:r w:rsidR="00256993">
        <w:rPr>
          <w:rFonts w:ascii="Verdana" w:hAnsi="Verdana"/>
          <w:bCs/>
          <w:sz w:val="18"/>
          <w:szCs w:val="18"/>
        </w:rPr>
        <w:t xml:space="preserve"> moet kunnen beschikken over voldoende cybersecurityp</w:t>
      </w:r>
      <w:r w:rsidR="003A5C75">
        <w:rPr>
          <w:rFonts w:ascii="Verdana" w:hAnsi="Verdana"/>
          <w:bCs/>
          <w:sz w:val="18"/>
          <w:szCs w:val="18"/>
        </w:rPr>
        <w:t xml:space="preserve">rofessionals </w:t>
      </w:r>
      <w:r w:rsidR="00256993">
        <w:rPr>
          <w:rFonts w:ascii="Verdana" w:hAnsi="Verdana"/>
          <w:bCs/>
          <w:sz w:val="18"/>
          <w:szCs w:val="18"/>
        </w:rPr>
        <w:t xml:space="preserve">om digitaal veilig te kunnen blijven. Het huidige tekort </w:t>
      </w:r>
      <w:r w:rsidR="00883175">
        <w:rPr>
          <w:rFonts w:ascii="Verdana" w:hAnsi="Verdana"/>
          <w:bCs/>
          <w:sz w:val="18"/>
          <w:szCs w:val="18"/>
        </w:rPr>
        <w:t>aan geschoold</w:t>
      </w:r>
      <w:r w:rsidR="003A5C75">
        <w:rPr>
          <w:rFonts w:ascii="Verdana" w:hAnsi="Verdana"/>
          <w:bCs/>
          <w:sz w:val="18"/>
          <w:szCs w:val="18"/>
        </w:rPr>
        <w:t>e</w:t>
      </w:r>
      <w:r w:rsidR="00883175">
        <w:rPr>
          <w:rFonts w:ascii="Verdana" w:hAnsi="Verdana"/>
          <w:bCs/>
          <w:sz w:val="18"/>
          <w:szCs w:val="18"/>
        </w:rPr>
        <w:t xml:space="preserve"> </w:t>
      </w:r>
      <w:r w:rsidR="003A5C75">
        <w:rPr>
          <w:rFonts w:ascii="Verdana" w:hAnsi="Verdana"/>
          <w:bCs/>
          <w:sz w:val="18"/>
          <w:szCs w:val="18"/>
        </w:rPr>
        <w:t>professionals</w:t>
      </w:r>
      <w:r w:rsidR="00883175">
        <w:rPr>
          <w:rFonts w:ascii="Verdana" w:hAnsi="Verdana"/>
          <w:bCs/>
          <w:sz w:val="18"/>
          <w:szCs w:val="18"/>
        </w:rPr>
        <w:t xml:space="preserve"> </w:t>
      </w:r>
      <w:r w:rsidR="00256993">
        <w:rPr>
          <w:rFonts w:ascii="Verdana" w:hAnsi="Verdana"/>
          <w:bCs/>
          <w:sz w:val="18"/>
          <w:szCs w:val="18"/>
        </w:rPr>
        <w:t xml:space="preserve">heeft een negatief effect op </w:t>
      </w:r>
      <w:r w:rsidR="00691119">
        <w:rPr>
          <w:rFonts w:ascii="Verdana" w:hAnsi="Verdana"/>
          <w:bCs/>
          <w:sz w:val="18"/>
          <w:szCs w:val="18"/>
        </w:rPr>
        <w:t>de</w:t>
      </w:r>
      <w:r w:rsidR="00256993">
        <w:rPr>
          <w:rFonts w:ascii="Verdana" w:hAnsi="Verdana"/>
          <w:bCs/>
          <w:sz w:val="18"/>
          <w:szCs w:val="18"/>
        </w:rPr>
        <w:t xml:space="preserve"> Europese </w:t>
      </w:r>
      <w:r w:rsidR="00691119">
        <w:rPr>
          <w:rFonts w:ascii="Verdana" w:hAnsi="Verdana"/>
          <w:bCs/>
          <w:sz w:val="18"/>
          <w:szCs w:val="18"/>
        </w:rPr>
        <w:t xml:space="preserve">veiligheid en weerbaarheid, het </w:t>
      </w:r>
      <w:r w:rsidR="00256993">
        <w:rPr>
          <w:rFonts w:ascii="Verdana" w:hAnsi="Verdana"/>
          <w:bCs/>
          <w:sz w:val="18"/>
          <w:szCs w:val="18"/>
        </w:rPr>
        <w:t xml:space="preserve">concurrentievermogen en de economische groei. </w:t>
      </w:r>
    </w:p>
    <w:p w:rsidR="0011058A" w:rsidP="00256993" w:rsidRDefault="0011058A" w14:paraId="01EF88C1" w14:textId="77777777">
      <w:pPr>
        <w:spacing w:line="360" w:lineRule="auto"/>
        <w:rPr>
          <w:rFonts w:ascii="Verdana" w:hAnsi="Verdana"/>
          <w:bCs/>
          <w:sz w:val="18"/>
          <w:szCs w:val="18"/>
        </w:rPr>
      </w:pPr>
    </w:p>
    <w:p w:rsidRPr="0011058A" w:rsidR="0011058A" w:rsidP="00256993" w:rsidRDefault="00FB523F" w14:paraId="5D5E0BA2" w14:textId="77777777">
      <w:pPr>
        <w:spacing w:line="360" w:lineRule="auto"/>
        <w:rPr>
          <w:rFonts w:ascii="Verdana" w:hAnsi="Verdana"/>
          <w:bCs/>
          <w:sz w:val="18"/>
          <w:szCs w:val="18"/>
        </w:rPr>
      </w:pPr>
      <w:r w:rsidRPr="00FB523F">
        <w:rPr>
          <w:rFonts w:ascii="Verdana" w:hAnsi="Verdana"/>
          <w:bCs/>
          <w:sz w:val="18"/>
          <w:szCs w:val="18"/>
        </w:rPr>
        <w:lastRenderedPageBreak/>
        <w:t>De Commissie stelt voor om de Academie op te zetten als een</w:t>
      </w:r>
      <w:r w:rsidRPr="00FB523F" w:rsidDel="00FB523F">
        <w:rPr>
          <w:rFonts w:ascii="Verdana" w:hAnsi="Verdana"/>
          <w:bCs/>
          <w:sz w:val="18"/>
          <w:szCs w:val="18"/>
        </w:rPr>
        <w:t xml:space="preserve"> </w:t>
      </w:r>
      <w:r w:rsidR="0011058A">
        <w:rPr>
          <w:rFonts w:ascii="Verdana" w:hAnsi="Verdana"/>
          <w:bCs/>
          <w:i/>
          <w:iCs/>
          <w:sz w:val="18"/>
          <w:szCs w:val="18"/>
        </w:rPr>
        <w:t xml:space="preserve">European </w:t>
      </w:r>
      <w:r w:rsidR="00B4378C">
        <w:rPr>
          <w:rFonts w:ascii="Verdana" w:hAnsi="Verdana"/>
          <w:bCs/>
          <w:i/>
          <w:iCs/>
          <w:sz w:val="18"/>
          <w:szCs w:val="18"/>
        </w:rPr>
        <w:t>D</w:t>
      </w:r>
      <w:r w:rsidR="0011058A">
        <w:rPr>
          <w:rFonts w:ascii="Verdana" w:hAnsi="Verdana"/>
          <w:bCs/>
          <w:i/>
          <w:iCs/>
          <w:sz w:val="18"/>
          <w:szCs w:val="18"/>
        </w:rPr>
        <w:t xml:space="preserve">igital </w:t>
      </w:r>
      <w:r w:rsidR="00B4378C">
        <w:rPr>
          <w:rFonts w:ascii="Verdana" w:hAnsi="Verdana"/>
          <w:bCs/>
          <w:i/>
          <w:iCs/>
          <w:sz w:val="18"/>
          <w:szCs w:val="18"/>
        </w:rPr>
        <w:t>I</w:t>
      </w:r>
      <w:r w:rsidR="0011058A">
        <w:rPr>
          <w:rFonts w:ascii="Verdana" w:hAnsi="Verdana"/>
          <w:bCs/>
          <w:i/>
          <w:iCs/>
          <w:sz w:val="18"/>
          <w:szCs w:val="18"/>
        </w:rPr>
        <w:t xml:space="preserve">nfrastructure </w:t>
      </w:r>
      <w:r w:rsidR="00B4378C">
        <w:rPr>
          <w:rFonts w:ascii="Verdana" w:hAnsi="Verdana"/>
          <w:bCs/>
          <w:i/>
          <w:iCs/>
          <w:sz w:val="18"/>
          <w:szCs w:val="18"/>
        </w:rPr>
        <w:t>C</w:t>
      </w:r>
      <w:r w:rsidR="0011058A">
        <w:rPr>
          <w:rFonts w:ascii="Verdana" w:hAnsi="Verdana"/>
          <w:bCs/>
          <w:i/>
          <w:iCs/>
          <w:sz w:val="18"/>
          <w:szCs w:val="18"/>
        </w:rPr>
        <w:t xml:space="preserve">onsortium </w:t>
      </w:r>
      <w:r w:rsidR="0011058A">
        <w:rPr>
          <w:rFonts w:ascii="Verdana" w:hAnsi="Verdana"/>
          <w:bCs/>
          <w:sz w:val="18"/>
          <w:szCs w:val="18"/>
        </w:rPr>
        <w:t xml:space="preserve">(EDIC). </w:t>
      </w:r>
      <w:r w:rsidR="0011058A">
        <w:rPr>
          <w:rFonts w:ascii="Verdana" w:hAnsi="Verdana"/>
          <w:sz w:val="18"/>
          <w:szCs w:val="18"/>
        </w:rPr>
        <w:t xml:space="preserve">De EDIC is een nieuw juridisch instrument dat kan worden gebruikt om </w:t>
      </w:r>
      <w:r w:rsidR="0011058A">
        <w:rPr>
          <w:rFonts w:ascii="Verdana" w:hAnsi="Verdana"/>
          <w:i/>
          <w:iCs/>
          <w:sz w:val="18"/>
          <w:szCs w:val="18"/>
        </w:rPr>
        <w:t>Multi</w:t>
      </w:r>
      <w:r w:rsidR="00B4378C">
        <w:rPr>
          <w:rFonts w:ascii="Verdana" w:hAnsi="Verdana"/>
          <w:i/>
          <w:iCs/>
          <w:sz w:val="18"/>
          <w:szCs w:val="18"/>
        </w:rPr>
        <w:t>-</w:t>
      </w:r>
      <w:r w:rsidR="0011058A">
        <w:rPr>
          <w:rFonts w:ascii="Verdana" w:hAnsi="Verdana"/>
          <w:i/>
          <w:iCs/>
          <w:sz w:val="18"/>
          <w:szCs w:val="18"/>
        </w:rPr>
        <w:t>Country Projects</w:t>
      </w:r>
      <w:r w:rsidR="0011058A">
        <w:rPr>
          <w:rFonts w:ascii="Verdana" w:hAnsi="Verdana"/>
          <w:sz w:val="18"/>
          <w:szCs w:val="18"/>
        </w:rPr>
        <w:t xml:space="preserve"> uit te voeren en biedt meer flexibiliteit dan reeds bestaande instrumenten</w:t>
      </w:r>
      <w:r w:rsidR="00531A97">
        <w:rPr>
          <w:rFonts w:ascii="Verdana" w:hAnsi="Verdana"/>
          <w:sz w:val="18"/>
          <w:szCs w:val="18"/>
        </w:rPr>
        <w:t xml:space="preserve"> als</w:t>
      </w:r>
      <w:r w:rsidR="00267CA4">
        <w:rPr>
          <w:rFonts w:ascii="Verdana" w:hAnsi="Verdana"/>
          <w:sz w:val="18"/>
          <w:szCs w:val="18"/>
        </w:rPr>
        <w:t xml:space="preserve"> subsidies en aanbestedingen</w:t>
      </w:r>
      <w:r w:rsidR="0011058A">
        <w:rPr>
          <w:rFonts w:ascii="Verdana" w:hAnsi="Verdana"/>
          <w:sz w:val="18"/>
          <w:szCs w:val="18"/>
        </w:rPr>
        <w:t xml:space="preserve">. Lidstaten worden aangemoedigd </w:t>
      </w:r>
      <w:r w:rsidR="00691119">
        <w:rPr>
          <w:rFonts w:ascii="Verdana" w:hAnsi="Verdana"/>
          <w:sz w:val="18"/>
          <w:szCs w:val="18"/>
        </w:rPr>
        <w:t>vóór 30 mei 2023</w:t>
      </w:r>
      <w:r w:rsidR="0011058A">
        <w:rPr>
          <w:rFonts w:ascii="Verdana" w:hAnsi="Verdana"/>
          <w:sz w:val="18"/>
          <w:szCs w:val="18"/>
        </w:rPr>
        <w:t xml:space="preserve"> te communiceren over </w:t>
      </w:r>
      <w:r w:rsidR="00691119">
        <w:rPr>
          <w:rFonts w:ascii="Verdana" w:hAnsi="Verdana"/>
          <w:sz w:val="18"/>
          <w:szCs w:val="18"/>
        </w:rPr>
        <w:t xml:space="preserve">eventuele </w:t>
      </w:r>
      <w:r w:rsidR="0011058A">
        <w:rPr>
          <w:rFonts w:ascii="Verdana" w:hAnsi="Verdana"/>
          <w:sz w:val="18"/>
          <w:szCs w:val="18"/>
        </w:rPr>
        <w:t xml:space="preserve">interesse in het opzetten van een dergelijke EDIC voor de Academie. </w:t>
      </w:r>
    </w:p>
    <w:p w:rsidR="00136255" w:rsidP="00256993" w:rsidRDefault="00136255" w14:paraId="7BF1368B" w14:textId="77777777">
      <w:pPr>
        <w:spacing w:line="360" w:lineRule="auto"/>
        <w:rPr>
          <w:rFonts w:ascii="Verdana" w:hAnsi="Verdana"/>
          <w:bCs/>
          <w:sz w:val="18"/>
          <w:szCs w:val="18"/>
        </w:rPr>
      </w:pPr>
    </w:p>
    <w:p w:rsidR="000B20DC" w:rsidP="00256993" w:rsidRDefault="00136255" w14:paraId="6FC66A87" w14:textId="77777777">
      <w:pPr>
        <w:spacing w:line="360" w:lineRule="auto"/>
        <w:rPr>
          <w:rFonts w:ascii="Verdana" w:hAnsi="Verdana"/>
          <w:bCs/>
          <w:sz w:val="18"/>
          <w:szCs w:val="18"/>
        </w:rPr>
      </w:pPr>
      <w:r>
        <w:rPr>
          <w:rFonts w:ascii="Verdana" w:hAnsi="Verdana"/>
          <w:bCs/>
          <w:sz w:val="18"/>
          <w:szCs w:val="18"/>
        </w:rPr>
        <w:t>De Academie moet een centrale plek worden waar publieke</w:t>
      </w:r>
      <w:r w:rsidR="000B20DC">
        <w:rPr>
          <w:rFonts w:ascii="Verdana" w:hAnsi="Verdana"/>
          <w:bCs/>
          <w:sz w:val="18"/>
          <w:szCs w:val="18"/>
        </w:rPr>
        <w:t xml:space="preserve"> initiatieven, </w:t>
      </w:r>
      <w:r>
        <w:rPr>
          <w:rFonts w:ascii="Verdana" w:hAnsi="Verdana"/>
          <w:bCs/>
          <w:sz w:val="18"/>
          <w:szCs w:val="18"/>
        </w:rPr>
        <w:t xml:space="preserve">private initiatieven </w:t>
      </w:r>
      <w:r w:rsidR="000B20DC">
        <w:rPr>
          <w:rFonts w:ascii="Verdana" w:hAnsi="Verdana"/>
          <w:bCs/>
          <w:sz w:val="18"/>
          <w:szCs w:val="18"/>
        </w:rPr>
        <w:t xml:space="preserve">en financiering </w:t>
      </w:r>
      <w:r>
        <w:rPr>
          <w:rFonts w:ascii="Verdana" w:hAnsi="Verdana"/>
          <w:bCs/>
          <w:sz w:val="18"/>
          <w:szCs w:val="18"/>
        </w:rPr>
        <w:t>voor cybersecurityonderwijs en trainingen bij elkaar komen.</w:t>
      </w:r>
      <w:r w:rsidR="004A1BBC">
        <w:rPr>
          <w:rFonts w:ascii="Verdana" w:hAnsi="Verdana"/>
          <w:bCs/>
          <w:sz w:val="18"/>
          <w:szCs w:val="18"/>
        </w:rPr>
        <w:t xml:space="preserve"> Succesvolle bestaande initiatieven </w:t>
      </w:r>
      <w:r w:rsidR="000B20DC">
        <w:rPr>
          <w:rFonts w:ascii="Verdana" w:hAnsi="Verdana"/>
          <w:bCs/>
          <w:sz w:val="18"/>
          <w:szCs w:val="18"/>
        </w:rPr>
        <w:t>kunnen</w:t>
      </w:r>
      <w:r w:rsidR="004A1BBC">
        <w:rPr>
          <w:rFonts w:ascii="Verdana" w:hAnsi="Verdana"/>
          <w:bCs/>
          <w:sz w:val="18"/>
          <w:szCs w:val="18"/>
        </w:rPr>
        <w:t xml:space="preserve"> via de Academie</w:t>
      </w:r>
      <w:r w:rsidR="000B20DC">
        <w:rPr>
          <w:rFonts w:ascii="Verdana" w:hAnsi="Verdana"/>
          <w:bCs/>
          <w:sz w:val="18"/>
          <w:szCs w:val="18"/>
        </w:rPr>
        <w:t xml:space="preserve"> worden</w:t>
      </w:r>
      <w:r w:rsidR="004A1BBC">
        <w:rPr>
          <w:rFonts w:ascii="Verdana" w:hAnsi="Verdana"/>
          <w:bCs/>
          <w:sz w:val="18"/>
          <w:szCs w:val="18"/>
        </w:rPr>
        <w:t xml:space="preserve"> opgeschaald om hun impact te maximaliseren. </w:t>
      </w:r>
      <w:r w:rsidR="003B7671">
        <w:rPr>
          <w:rFonts w:ascii="Verdana" w:hAnsi="Verdana"/>
          <w:bCs/>
          <w:sz w:val="18"/>
          <w:szCs w:val="18"/>
        </w:rPr>
        <w:t xml:space="preserve">De Academie kent vier </w:t>
      </w:r>
      <w:r w:rsidR="006A57F9">
        <w:rPr>
          <w:rFonts w:ascii="Verdana" w:hAnsi="Verdana"/>
          <w:bCs/>
          <w:sz w:val="18"/>
          <w:szCs w:val="18"/>
        </w:rPr>
        <w:t>pijlers</w:t>
      </w:r>
      <w:r w:rsidR="000B20DC">
        <w:rPr>
          <w:rFonts w:ascii="Verdana" w:hAnsi="Verdana"/>
          <w:bCs/>
          <w:sz w:val="18"/>
          <w:szCs w:val="18"/>
        </w:rPr>
        <w:t>:</w:t>
      </w:r>
      <w:r w:rsidR="00881B9B">
        <w:rPr>
          <w:rFonts w:ascii="Verdana" w:hAnsi="Verdana"/>
          <w:bCs/>
          <w:sz w:val="18"/>
          <w:szCs w:val="18"/>
        </w:rPr>
        <w:t xml:space="preserve"> ten eerste kennisontwikkeling en training</w:t>
      </w:r>
      <w:r w:rsidR="00641C9F">
        <w:rPr>
          <w:rFonts w:ascii="Verdana" w:hAnsi="Verdana"/>
          <w:bCs/>
          <w:sz w:val="18"/>
          <w:szCs w:val="18"/>
        </w:rPr>
        <w:t>,</w:t>
      </w:r>
      <w:r w:rsidR="00881B9B">
        <w:rPr>
          <w:rFonts w:ascii="Verdana" w:hAnsi="Verdana"/>
          <w:bCs/>
          <w:sz w:val="18"/>
          <w:szCs w:val="18"/>
        </w:rPr>
        <w:t xml:space="preserve"> ten tweede stakeholder betrokkenheid, ten derde subsidies en ten vierde monitoring</w:t>
      </w:r>
      <w:r w:rsidR="004D433F">
        <w:rPr>
          <w:rFonts w:ascii="Verdana" w:hAnsi="Verdana"/>
          <w:bCs/>
          <w:sz w:val="18"/>
          <w:szCs w:val="18"/>
        </w:rPr>
        <w:t xml:space="preserve"> van de marktontwikkeling</w:t>
      </w:r>
      <w:r w:rsidR="00881B9B">
        <w:rPr>
          <w:rFonts w:ascii="Verdana" w:hAnsi="Verdana"/>
          <w:bCs/>
          <w:sz w:val="18"/>
          <w:szCs w:val="18"/>
        </w:rPr>
        <w:t xml:space="preserve">. </w:t>
      </w:r>
    </w:p>
    <w:p w:rsidRPr="00616B55" w:rsidR="000B20DC" w:rsidP="00256993" w:rsidRDefault="000B20DC" w14:paraId="29F1BCF2" w14:textId="77777777">
      <w:pPr>
        <w:spacing w:line="360" w:lineRule="auto"/>
        <w:rPr>
          <w:rFonts w:ascii="Verdana" w:hAnsi="Verdana"/>
          <w:bCs/>
          <w:sz w:val="18"/>
          <w:szCs w:val="18"/>
        </w:rPr>
      </w:pPr>
    </w:p>
    <w:p w:rsidRPr="00245B56" w:rsidR="00BB3065" w:rsidP="00256993" w:rsidRDefault="006A57F9" w14:paraId="39EA6C27" w14:textId="77777777">
      <w:pPr>
        <w:spacing w:line="360" w:lineRule="auto"/>
        <w:rPr>
          <w:rFonts w:ascii="Verdana" w:hAnsi="Verdana"/>
          <w:bCs/>
          <w:sz w:val="18"/>
          <w:szCs w:val="18"/>
        </w:rPr>
      </w:pPr>
      <w:r>
        <w:rPr>
          <w:rFonts w:ascii="Verdana" w:hAnsi="Verdana"/>
          <w:bCs/>
          <w:sz w:val="18"/>
          <w:szCs w:val="18"/>
        </w:rPr>
        <w:t xml:space="preserve">Onder </w:t>
      </w:r>
      <w:r w:rsidR="00881B9B">
        <w:rPr>
          <w:rFonts w:ascii="Verdana" w:hAnsi="Verdana"/>
          <w:bCs/>
          <w:sz w:val="18"/>
          <w:szCs w:val="18"/>
        </w:rPr>
        <w:t>de eerste</w:t>
      </w:r>
      <w:r>
        <w:rPr>
          <w:rFonts w:ascii="Verdana" w:hAnsi="Verdana"/>
          <w:bCs/>
          <w:sz w:val="18"/>
          <w:szCs w:val="18"/>
        </w:rPr>
        <w:t xml:space="preserve"> pijler </w:t>
      </w:r>
      <w:r w:rsidR="00881B9B">
        <w:rPr>
          <w:rFonts w:ascii="Verdana" w:hAnsi="Verdana"/>
          <w:bCs/>
          <w:sz w:val="18"/>
          <w:szCs w:val="18"/>
        </w:rPr>
        <w:t>stelt de Commissie voor om</w:t>
      </w:r>
      <w:r>
        <w:rPr>
          <w:rFonts w:ascii="Verdana" w:hAnsi="Verdana"/>
          <w:bCs/>
          <w:sz w:val="18"/>
          <w:szCs w:val="18"/>
        </w:rPr>
        <w:t xml:space="preserve"> een </w:t>
      </w:r>
      <w:r w:rsidR="00616B55">
        <w:rPr>
          <w:rFonts w:ascii="Verdana" w:hAnsi="Verdana"/>
          <w:bCs/>
          <w:sz w:val="18"/>
          <w:szCs w:val="18"/>
        </w:rPr>
        <w:t>gestructureerde</w:t>
      </w:r>
      <w:r>
        <w:rPr>
          <w:rFonts w:ascii="Verdana" w:hAnsi="Verdana"/>
          <w:bCs/>
          <w:sz w:val="18"/>
          <w:szCs w:val="18"/>
        </w:rPr>
        <w:t xml:space="preserve"> aanpak </w:t>
      </w:r>
      <w:r w:rsidR="00881B9B">
        <w:rPr>
          <w:rFonts w:ascii="Verdana" w:hAnsi="Verdana"/>
          <w:bCs/>
          <w:sz w:val="18"/>
          <w:szCs w:val="18"/>
        </w:rPr>
        <w:t>te formuleren</w:t>
      </w:r>
      <w:r>
        <w:rPr>
          <w:rFonts w:ascii="Verdana" w:hAnsi="Verdana"/>
          <w:bCs/>
          <w:sz w:val="18"/>
          <w:szCs w:val="18"/>
        </w:rPr>
        <w:t xml:space="preserve"> om het aantal cybersecurityprofessionals in de EU toe te laten nemen, om trainingen beter aan te laten sluiten op de vraag vanuit de markt, en om zichtbaarheden te geven aan verschillende carrièremogelijkheden. </w:t>
      </w:r>
      <w:r w:rsidR="00A409C5">
        <w:rPr>
          <w:rFonts w:ascii="Verdana" w:hAnsi="Verdana"/>
          <w:bCs/>
          <w:sz w:val="18"/>
          <w:szCs w:val="18"/>
        </w:rPr>
        <w:t xml:space="preserve">Lidstaten </w:t>
      </w:r>
      <w:r w:rsidR="00213FCF">
        <w:rPr>
          <w:rFonts w:ascii="Verdana" w:hAnsi="Verdana"/>
          <w:bCs/>
          <w:sz w:val="18"/>
          <w:szCs w:val="18"/>
        </w:rPr>
        <w:t xml:space="preserve">worden aangemoedigd om cybersecurity in de curricula van het onderwijsaanbod toe te voegen en </w:t>
      </w:r>
      <w:r w:rsidR="00245B56">
        <w:rPr>
          <w:rFonts w:ascii="Verdana" w:hAnsi="Verdana"/>
          <w:bCs/>
          <w:sz w:val="18"/>
          <w:szCs w:val="18"/>
        </w:rPr>
        <w:t xml:space="preserve">moeten </w:t>
      </w:r>
      <w:r w:rsidR="00A409C5">
        <w:rPr>
          <w:rFonts w:ascii="Verdana" w:hAnsi="Verdana"/>
          <w:bCs/>
          <w:sz w:val="18"/>
          <w:szCs w:val="18"/>
        </w:rPr>
        <w:t>mogelijk maken dat cybersecurityexpertise erkend kan worden via ‘</w:t>
      </w:r>
      <w:r w:rsidR="00A409C5">
        <w:rPr>
          <w:rFonts w:ascii="Verdana" w:hAnsi="Verdana"/>
          <w:bCs/>
          <w:i/>
          <w:iCs/>
          <w:sz w:val="18"/>
          <w:szCs w:val="18"/>
        </w:rPr>
        <w:t>micro-credentials’</w:t>
      </w:r>
      <w:r w:rsidR="00A409C5">
        <w:rPr>
          <w:rFonts w:ascii="Verdana" w:hAnsi="Verdana"/>
          <w:bCs/>
          <w:sz w:val="18"/>
          <w:szCs w:val="18"/>
        </w:rPr>
        <w:t>, als onderdeel van nationale ‘</w:t>
      </w:r>
      <w:r w:rsidR="00A409C5">
        <w:rPr>
          <w:rFonts w:ascii="Verdana" w:hAnsi="Verdana"/>
          <w:bCs/>
          <w:i/>
          <w:iCs/>
          <w:sz w:val="18"/>
          <w:szCs w:val="18"/>
        </w:rPr>
        <w:t>Qualification Frameworks’</w:t>
      </w:r>
      <w:r w:rsidR="002573C2">
        <w:rPr>
          <w:rFonts w:ascii="Verdana" w:hAnsi="Verdana"/>
          <w:bCs/>
          <w:sz w:val="18"/>
          <w:szCs w:val="18"/>
        </w:rPr>
        <w:t>.</w:t>
      </w:r>
      <w:r w:rsidR="00941923">
        <w:rPr>
          <w:rStyle w:val="Voetnootmarkering"/>
          <w:rFonts w:ascii="Verdana" w:hAnsi="Verdana"/>
          <w:bCs/>
          <w:i/>
          <w:iCs/>
          <w:sz w:val="18"/>
          <w:szCs w:val="18"/>
        </w:rPr>
        <w:footnoteReference w:id="3"/>
      </w:r>
      <w:r w:rsidR="00A409C5">
        <w:rPr>
          <w:rFonts w:ascii="Verdana" w:hAnsi="Verdana"/>
          <w:bCs/>
          <w:sz w:val="18"/>
          <w:szCs w:val="18"/>
        </w:rPr>
        <w:t xml:space="preserve"> </w:t>
      </w:r>
      <w:r w:rsidRPr="0008276C" w:rsidR="0008276C">
        <w:rPr>
          <w:rFonts w:ascii="Verdana" w:hAnsi="Verdana"/>
          <w:bCs/>
          <w:sz w:val="18"/>
          <w:szCs w:val="18"/>
        </w:rPr>
        <w:t xml:space="preserve">Ook stelt de Commissie voor om voldoende stage- en leerplekken te ontwikkelen voor lerenden. </w:t>
      </w:r>
      <w:r w:rsidR="00245B56">
        <w:rPr>
          <w:rFonts w:ascii="Verdana" w:hAnsi="Verdana"/>
          <w:bCs/>
          <w:sz w:val="18"/>
          <w:szCs w:val="18"/>
        </w:rPr>
        <w:t xml:space="preserve">De Commissie zorgt voor een centrale marktplaats voor cybersecurityprogramma’s, trainingen en certificaten via het bestaande </w:t>
      </w:r>
      <w:r w:rsidR="00245B56">
        <w:rPr>
          <w:rFonts w:ascii="Verdana" w:hAnsi="Verdana"/>
          <w:bCs/>
          <w:i/>
          <w:iCs/>
          <w:sz w:val="18"/>
          <w:szCs w:val="18"/>
        </w:rPr>
        <w:t>Digital Skills and Jobs Platform</w:t>
      </w:r>
      <w:r w:rsidR="00245B56">
        <w:rPr>
          <w:rFonts w:ascii="Verdana" w:hAnsi="Verdana"/>
          <w:bCs/>
          <w:sz w:val="18"/>
          <w:szCs w:val="18"/>
        </w:rPr>
        <w:t xml:space="preserve">. Het </w:t>
      </w:r>
      <w:r w:rsidRPr="00245B56" w:rsidR="00245B56">
        <w:rPr>
          <w:rFonts w:ascii="Verdana" w:hAnsi="Verdana"/>
          <w:bCs/>
          <w:sz w:val="18"/>
          <w:szCs w:val="18"/>
        </w:rPr>
        <w:t>Europees Agentschap voor Netwerk- en Informatiebeveiliging</w:t>
      </w:r>
      <w:r w:rsidR="00245B56">
        <w:rPr>
          <w:rFonts w:ascii="Verdana" w:hAnsi="Verdana"/>
          <w:bCs/>
          <w:sz w:val="18"/>
          <w:szCs w:val="18"/>
        </w:rPr>
        <w:t xml:space="preserve"> (ENISA) </w:t>
      </w:r>
      <w:r w:rsidR="00616B55">
        <w:rPr>
          <w:rFonts w:ascii="Verdana" w:hAnsi="Verdana"/>
          <w:bCs/>
          <w:sz w:val="18"/>
          <w:szCs w:val="18"/>
        </w:rPr>
        <w:t xml:space="preserve">zal het </w:t>
      </w:r>
      <w:r w:rsidR="00616B55">
        <w:rPr>
          <w:rFonts w:ascii="Verdana" w:hAnsi="Verdana"/>
          <w:bCs/>
          <w:i/>
          <w:iCs/>
          <w:sz w:val="18"/>
          <w:szCs w:val="18"/>
        </w:rPr>
        <w:t xml:space="preserve">European Cybersecurity Skills Framework </w:t>
      </w:r>
      <w:r w:rsidR="00616B55">
        <w:rPr>
          <w:rFonts w:ascii="Verdana" w:hAnsi="Verdana"/>
          <w:bCs/>
          <w:sz w:val="18"/>
          <w:szCs w:val="18"/>
        </w:rPr>
        <w:t xml:space="preserve">(ECSF) implementeren en regelmatig bijwerken. </w:t>
      </w:r>
      <w:r w:rsidR="00532621">
        <w:rPr>
          <w:rFonts w:ascii="Verdana" w:hAnsi="Verdana"/>
          <w:bCs/>
          <w:sz w:val="18"/>
          <w:szCs w:val="18"/>
        </w:rPr>
        <w:t xml:space="preserve">Ook ontwikkelt ENISA een pilot waarmee het de mogelijkheden verkent voor een Europees kwaliteitskeurmerk voor cybersecurity trainingen. </w:t>
      </w:r>
    </w:p>
    <w:p w:rsidR="00BB3065" w:rsidP="00256993" w:rsidRDefault="00BB3065" w14:paraId="7143DEA5" w14:textId="77777777">
      <w:pPr>
        <w:spacing w:line="360" w:lineRule="auto"/>
        <w:rPr>
          <w:rFonts w:ascii="Verdana" w:hAnsi="Verdana"/>
          <w:bCs/>
          <w:sz w:val="18"/>
          <w:szCs w:val="18"/>
        </w:rPr>
      </w:pPr>
    </w:p>
    <w:p w:rsidR="00616B55" w:rsidP="0064352A" w:rsidRDefault="00616B55" w14:paraId="53C14EE9" w14:textId="77777777">
      <w:pPr>
        <w:tabs>
          <w:tab w:val="left" w:pos="360"/>
          <w:tab w:val="left" w:pos="4500"/>
          <w:tab w:val="left" w:pos="5580"/>
        </w:tabs>
        <w:spacing w:line="360" w:lineRule="auto"/>
        <w:rPr>
          <w:rFonts w:ascii="Verdana" w:hAnsi="Verdana"/>
          <w:bCs/>
          <w:sz w:val="18"/>
          <w:szCs w:val="18"/>
        </w:rPr>
      </w:pPr>
      <w:r>
        <w:rPr>
          <w:rFonts w:ascii="Verdana" w:hAnsi="Verdana"/>
          <w:bCs/>
          <w:sz w:val="18"/>
          <w:szCs w:val="18"/>
        </w:rPr>
        <w:t>Onder de</w:t>
      </w:r>
      <w:r w:rsidR="003A5C75">
        <w:rPr>
          <w:rFonts w:ascii="Verdana" w:hAnsi="Verdana"/>
          <w:bCs/>
          <w:sz w:val="18"/>
          <w:szCs w:val="18"/>
        </w:rPr>
        <w:t xml:space="preserve"> tweede</w:t>
      </w:r>
      <w:r>
        <w:rPr>
          <w:rFonts w:ascii="Verdana" w:hAnsi="Verdana"/>
          <w:bCs/>
          <w:sz w:val="18"/>
          <w:szCs w:val="18"/>
        </w:rPr>
        <w:t xml:space="preserve"> pijler </w:t>
      </w:r>
      <w:r w:rsidR="003A5C75">
        <w:rPr>
          <w:rFonts w:ascii="Verdana" w:hAnsi="Verdana"/>
          <w:bCs/>
          <w:sz w:val="18"/>
          <w:szCs w:val="18"/>
        </w:rPr>
        <w:t>stelt de Commissie voor om</w:t>
      </w:r>
      <w:r w:rsidRPr="00616B55">
        <w:rPr>
          <w:rFonts w:ascii="Verdana" w:hAnsi="Verdana"/>
          <w:bCs/>
          <w:sz w:val="18"/>
          <w:szCs w:val="18"/>
        </w:rPr>
        <w:t xml:space="preserve"> een </w:t>
      </w:r>
      <w:r>
        <w:rPr>
          <w:rFonts w:ascii="Verdana" w:hAnsi="Verdana"/>
          <w:bCs/>
          <w:sz w:val="18"/>
          <w:szCs w:val="18"/>
        </w:rPr>
        <w:t xml:space="preserve">gestructureerde aanpak </w:t>
      </w:r>
      <w:r w:rsidR="003A5C75">
        <w:rPr>
          <w:rFonts w:ascii="Verdana" w:hAnsi="Verdana"/>
          <w:bCs/>
          <w:sz w:val="18"/>
          <w:szCs w:val="18"/>
        </w:rPr>
        <w:t>te formuleren</w:t>
      </w:r>
      <w:r>
        <w:rPr>
          <w:rFonts w:ascii="Verdana" w:hAnsi="Verdana"/>
          <w:bCs/>
          <w:sz w:val="18"/>
          <w:szCs w:val="18"/>
        </w:rPr>
        <w:t xml:space="preserve"> om de zichtbaarheid en impact toe te laten nemen van initiatieven uit het veld gericht op het verkleinen van het cybersecurity arbeidsmarkttekort. </w:t>
      </w:r>
      <w:r w:rsidR="002D7089">
        <w:rPr>
          <w:rFonts w:ascii="Verdana" w:hAnsi="Verdana"/>
          <w:bCs/>
          <w:sz w:val="18"/>
          <w:szCs w:val="18"/>
        </w:rPr>
        <w:t xml:space="preserve">Via het </w:t>
      </w:r>
      <w:r w:rsidR="002D7089">
        <w:rPr>
          <w:rFonts w:ascii="Verdana" w:hAnsi="Verdana"/>
          <w:bCs/>
          <w:i/>
          <w:iCs/>
          <w:sz w:val="18"/>
          <w:szCs w:val="18"/>
        </w:rPr>
        <w:t>Digital Skills and Jobs Platform</w:t>
      </w:r>
      <w:r w:rsidR="002D7089">
        <w:rPr>
          <w:rFonts w:ascii="Verdana" w:hAnsi="Verdana"/>
          <w:bCs/>
          <w:sz w:val="18"/>
          <w:szCs w:val="18"/>
        </w:rPr>
        <w:t xml:space="preserve"> kunnen industriepartijen hun betrokkenheid vastleggen om </w:t>
      </w:r>
      <w:r w:rsidR="00AF1340">
        <w:rPr>
          <w:rFonts w:ascii="Verdana" w:hAnsi="Verdana"/>
          <w:bCs/>
          <w:sz w:val="18"/>
          <w:szCs w:val="18"/>
        </w:rPr>
        <w:t>cybersecurity</w:t>
      </w:r>
      <w:r w:rsidR="003A5C75">
        <w:rPr>
          <w:rFonts w:ascii="Verdana" w:hAnsi="Verdana"/>
          <w:bCs/>
          <w:sz w:val="18"/>
          <w:szCs w:val="18"/>
        </w:rPr>
        <w:t>professionals</w:t>
      </w:r>
      <w:r w:rsidR="002D7089">
        <w:rPr>
          <w:rFonts w:ascii="Verdana" w:hAnsi="Verdana"/>
          <w:bCs/>
          <w:sz w:val="18"/>
          <w:szCs w:val="18"/>
        </w:rPr>
        <w:t xml:space="preserve"> om- en/of bij- te scholen. Lidstaten moeten concrete acties opnemen in hun nationale cybersecurity strategieën om het cybersecurity arbeidsmarkttekort te verkleinen. Ook moeten </w:t>
      </w:r>
      <w:r w:rsidR="007B55EC">
        <w:rPr>
          <w:rFonts w:ascii="Verdana" w:hAnsi="Verdana"/>
          <w:bCs/>
          <w:sz w:val="18"/>
          <w:szCs w:val="18"/>
        </w:rPr>
        <w:t>l</w:t>
      </w:r>
      <w:r w:rsidR="002D7089">
        <w:rPr>
          <w:rFonts w:ascii="Verdana" w:hAnsi="Verdana"/>
          <w:bCs/>
          <w:sz w:val="18"/>
          <w:szCs w:val="18"/>
        </w:rPr>
        <w:t xml:space="preserve">idstaten samen met de industrie vrouwen aanmoedigen een actieve rol te spelen in de digitale tech sector en </w:t>
      </w:r>
      <w:r w:rsidR="002915D5">
        <w:rPr>
          <w:rFonts w:ascii="Verdana" w:hAnsi="Verdana"/>
          <w:bCs/>
          <w:sz w:val="18"/>
          <w:szCs w:val="18"/>
        </w:rPr>
        <w:t xml:space="preserve">de </w:t>
      </w:r>
      <w:r w:rsidR="002915D5">
        <w:rPr>
          <w:rFonts w:ascii="Verdana" w:hAnsi="Verdana"/>
          <w:bCs/>
          <w:i/>
          <w:iCs/>
          <w:sz w:val="18"/>
          <w:szCs w:val="18"/>
        </w:rPr>
        <w:t xml:space="preserve">Women in Digital </w:t>
      </w:r>
      <w:r w:rsidR="002915D5">
        <w:rPr>
          <w:rFonts w:ascii="Verdana" w:hAnsi="Verdana"/>
          <w:bCs/>
          <w:sz w:val="18"/>
          <w:szCs w:val="18"/>
        </w:rPr>
        <w:t>declaratie</w:t>
      </w:r>
      <w:r w:rsidR="00130E6E">
        <w:rPr>
          <w:rStyle w:val="Voetnootmarkering"/>
          <w:rFonts w:ascii="Verdana" w:hAnsi="Verdana"/>
          <w:bCs/>
          <w:sz w:val="18"/>
          <w:szCs w:val="18"/>
        </w:rPr>
        <w:footnoteReference w:id="4"/>
      </w:r>
      <w:r w:rsidR="002915D5">
        <w:rPr>
          <w:rFonts w:ascii="Verdana" w:hAnsi="Verdana"/>
          <w:bCs/>
          <w:sz w:val="18"/>
          <w:szCs w:val="18"/>
        </w:rPr>
        <w:t xml:space="preserve"> implementeren. </w:t>
      </w:r>
    </w:p>
    <w:p w:rsidR="003A5C75" w:rsidP="0064352A" w:rsidRDefault="003A5C75" w14:paraId="39FD1AEF" w14:textId="77777777">
      <w:pPr>
        <w:tabs>
          <w:tab w:val="left" w:pos="360"/>
          <w:tab w:val="left" w:pos="4500"/>
          <w:tab w:val="left" w:pos="5580"/>
        </w:tabs>
        <w:spacing w:line="360" w:lineRule="auto"/>
        <w:rPr>
          <w:rFonts w:ascii="Verdana" w:hAnsi="Verdana"/>
          <w:bCs/>
          <w:sz w:val="18"/>
          <w:szCs w:val="18"/>
        </w:rPr>
      </w:pPr>
    </w:p>
    <w:p w:rsidR="00494B66" w:rsidP="0064352A" w:rsidRDefault="000332C1" w14:paraId="3DFF17F1" w14:textId="77777777">
      <w:pPr>
        <w:tabs>
          <w:tab w:val="left" w:pos="360"/>
          <w:tab w:val="left" w:pos="4500"/>
          <w:tab w:val="left" w:pos="5580"/>
        </w:tabs>
        <w:spacing w:line="360" w:lineRule="auto"/>
        <w:rPr>
          <w:rFonts w:ascii="Verdana" w:hAnsi="Verdana"/>
          <w:bCs/>
          <w:sz w:val="18"/>
          <w:szCs w:val="18"/>
        </w:rPr>
      </w:pPr>
      <w:r>
        <w:rPr>
          <w:rFonts w:ascii="Verdana" w:hAnsi="Verdana"/>
          <w:bCs/>
          <w:sz w:val="18"/>
          <w:szCs w:val="18"/>
        </w:rPr>
        <w:t xml:space="preserve">Onder </w:t>
      </w:r>
      <w:r w:rsidR="003A5C75">
        <w:rPr>
          <w:rFonts w:ascii="Verdana" w:hAnsi="Verdana"/>
          <w:bCs/>
          <w:sz w:val="18"/>
          <w:szCs w:val="18"/>
        </w:rPr>
        <w:t>de derde</w:t>
      </w:r>
      <w:r>
        <w:rPr>
          <w:rFonts w:ascii="Verdana" w:hAnsi="Verdana"/>
          <w:bCs/>
          <w:sz w:val="18"/>
          <w:szCs w:val="18"/>
        </w:rPr>
        <w:t xml:space="preserve"> pijler </w:t>
      </w:r>
      <w:r w:rsidR="003A5C75">
        <w:rPr>
          <w:rFonts w:ascii="Verdana" w:hAnsi="Verdana"/>
          <w:bCs/>
          <w:sz w:val="18"/>
          <w:szCs w:val="18"/>
        </w:rPr>
        <w:t>stelt de Commissie voor om</w:t>
      </w:r>
      <w:r>
        <w:rPr>
          <w:rFonts w:ascii="Verdana" w:hAnsi="Verdana"/>
          <w:bCs/>
          <w:sz w:val="18"/>
          <w:szCs w:val="18"/>
        </w:rPr>
        <w:t xml:space="preserve"> de impact van investeringen in cybersecurity expertise </w:t>
      </w:r>
      <w:r w:rsidR="003A5C75">
        <w:rPr>
          <w:rFonts w:ascii="Verdana" w:hAnsi="Verdana"/>
          <w:bCs/>
          <w:sz w:val="18"/>
          <w:szCs w:val="18"/>
        </w:rPr>
        <w:t xml:space="preserve">te maximaliseren </w:t>
      </w:r>
      <w:r>
        <w:rPr>
          <w:rFonts w:ascii="Verdana" w:hAnsi="Verdana"/>
          <w:bCs/>
          <w:sz w:val="18"/>
          <w:szCs w:val="18"/>
        </w:rPr>
        <w:t xml:space="preserve">door subsidies te centraliseren en deze beter te kanaliseren richting de vraag uit de markt. Het Europese </w:t>
      </w:r>
      <w:r>
        <w:rPr>
          <w:rFonts w:ascii="Verdana" w:hAnsi="Verdana"/>
          <w:bCs/>
          <w:i/>
          <w:iCs/>
          <w:sz w:val="18"/>
          <w:szCs w:val="18"/>
        </w:rPr>
        <w:t xml:space="preserve">Cybersecurity Competence Center </w:t>
      </w:r>
      <w:r>
        <w:rPr>
          <w:rFonts w:ascii="Verdana" w:hAnsi="Verdana"/>
          <w:bCs/>
          <w:sz w:val="18"/>
          <w:szCs w:val="18"/>
        </w:rPr>
        <w:t>(ECCC) en ENISA zullen bestaande EU</w:t>
      </w:r>
      <w:r w:rsidR="003A5C75">
        <w:rPr>
          <w:rFonts w:ascii="Verdana" w:hAnsi="Verdana"/>
          <w:bCs/>
          <w:sz w:val="18"/>
          <w:szCs w:val="18"/>
        </w:rPr>
        <w:t>-</w:t>
      </w:r>
      <w:r>
        <w:rPr>
          <w:rFonts w:ascii="Verdana" w:hAnsi="Verdana"/>
          <w:bCs/>
          <w:sz w:val="18"/>
          <w:szCs w:val="18"/>
        </w:rPr>
        <w:t xml:space="preserve">subsidies in kaart brengen, vergelijken met de vraag uit de markt en beoordelen op </w:t>
      </w:r>
      <w:r w:rsidR="00494B66">
        <w:rPr>
          <w:rFonts w:ascii="Verdana" w:hAnsi="Verdana"/>
          <w:bCs/>
          <w:sz w:val="18"/>
          <w:szCs w:val="18"/>
        </w:rPr>
        <w:lastRenderedPageBreak/>
        <w:t>effectiviteit</w:t>
      </w:r>
      <w:r>
        <w:rPr>
          <w:rFonts w:ascii="Verdana" w:hAnsi="Verdana"/>
          <w:bCs/>
          <w:sz w:val="18"/>
          <w:szCs w:val="18"/>
        </w:rPr>
        <w:t>.</w:t>
      </w:r>
      <w:r w:rsidR="00494B66">
        <w:rPr>
          <w:rFonts w:ascii="Verdana" w:hAnsi="Verdana"/>
          <w:bCs/>
          <w:sz w:val="18"/>
          <w:szCs w:val="18"/>
        </w:rPr>
        <w:t xml:space="preserve"> Op basis hiervan zullen subsidieprioriteiten gedefinieerd worden. De Commissie zal via het </w:t>
      </w:r>
      <w:r w:rsidR="00494B66">
        <w:rPr>
          <w:rFonts w:ascii="Verdana" w:hAnsi="Verdana"/>
          <w:bCs/>
          <w:i/>
          <w:iCs/>
          <w:sz w:val="18"/>
          <w:szCs w:val="18"/>
        </w:rPr>
        <w:t xml:space="preserve">Digital Skills and Jobs Platform </w:t>
      </w:r>
      <w:r w:rsidR="00494B66">
        <w:rPr>
          <w:rFonts w:ascii="Verdana" w:hAnsi="Verdana"/>
          <w:bCs/>
          <w:sz w:val="18"/>
          <w:szCs w:val="18"/>
        </w:rPr>
        <w:t xml:space="preserve">een centrale verzamelplek opzetten voor subsidies op het gebied van cybersecurityexpertise. </w:t>
      </w:r>
    </w:p>
    <w:p w:rsidR="003A5C75" w:rsidP="0064352A" w:rsidRDefault="003A5C75" w14:paraId="7E465F93" w14:textId="77777777">
      <w:pPr>
        <w:tabs>
          <w:tab w:val="left" w:pos="360"/>
          <w:tab w:val="left" w:pos="4500"/>
          <w:tab w:val="left" w:pos="5580"/>
        </w:tabs>
        <w:spacing w:line="360" w:lineRule="auto"/>
        <w:rPr>
          <w:rFonts w:ascii="Verdana" w:hAnsi="Verdana"/>
          <w:bCs/>
          <w:sz w:val="18"/>
          <w:szCs w:val="18"/>
        </w:rPr>
      </w:pPr>
    </w:p>
    <w:p w:rsidRPr="002915D5" w:rsidR="002915D5" w:rsidP="0064352A" w:rsidRDefault="00494B66" w14:paraId="6CCD813C" w14:textId="77777777">
      <w:pPr>
        <w:tabs>
          <w:tab w:val="left" w:pos="360"/>
          <w:tab w:val="left" w:pos="4500"/>
          <w:tab w:val="left" w:pos="5580"/>
        </w:tabs>
        <w:spacing w:line="360" w:lineRule="auto"/>
        <w:rPr>
          <w:rFonts w:ascii="Verdana" w:hAnsi="Verdana"/>
          <w:bCs/>
          <w:sz w:val="18"/>
          <w:szCs w:val="18"/>
        </w:rPr>
      </w:pPr>
      <w:r>
        <w:rPr>
          <w:rFonts w:ascii="Verdana" w:hAnsi="Verdana"/>
          <w:bCs/>
          <w:sz w:val="18"/>
          <w:szCs w:val="18"/>
        </w:rPr>
        <w:t>Onder de</w:t>
      </w:r>
      <w:r w:rsidR="003A5C75">
        <w:rPr>
          <w:rFonts w:ascii="Verdana" w:hAnsi="Verdana"/>
          <w:bCs/>
          <w:sz w:val="18"/>
          <w:szCs w:val="18"/>
        </w:rPr>
        <w:t xml:space="preserve"> vierde</w:t>
      </w:r>
      <w:r>
        <w:rPr>
          <w:rFonts w:ascii="Verdana" w:hAnsi="Verdana"/>
          <w:bCs/>
          <w:sz w:val="18"/>
          <w:szCs w:val="18"/>
        </w:rPr>
        <w:t xml:space="preserve"> pijler </w:t>
      </w:r>
      <w:r w:rsidR="003A5C75">
        <w:rPr>
          <w:rFonts w:ascii="Verdana" w:hAnsi="Verdana"/>
          <w:bCs/>
          <w:sz w:val="18"/>
          <w:szCs w:val="18"/>
        </w:rPr>
        <w:t xml:space="preserve">stelt de Commissie voor om </w:t>
      </w:r>
      <w:r>
        <w:rPr>
          <w:rFonts w:ascii="Verdana" w:hAnsi="Verdana"/>
          <w:bCs/>
          <w:sz w:val="18"/>
          <w:szCs w:val="18"/>
        </w:rPr>
        <w:t xml:space="preserve">een methodologie </w:t>
      </w:r>
      <w:r w:rsidR="003A5C75">
        <w:rPr>
          <w:rFonts w:ascii="Verdana" w:hAnsi="Verdana"/>
          <w:bCs/>
          <w:sz w:val="18"/>
          <w:szCs w:val="18"/>
        </w:rPr>
        <w:t>te ontwikkelen</w:t>
      </w:r>
      <w:r>
        <w:rPr>
          <w:rFonts w:ascii="Verdana" w:hAnsi="Verdana"/>
          <w:bCs/>
          <w:sz w:val="18"/>
          <w:szCs w:val="18"/>
        </w:rPr>
        <w:t xml:space="preserve"> om de voortgang te meten van het verkleinen van het cybersecurity</w:t>
      </w:r>
      <w:r w:rsidR="003A5C75">
        <w:rPr>
          <w:rFonts w:ascii="Verdana" w:hAnsi="Verdana"/>
          <w:bCs/>
          <w:sz w:val="18"/>
          <w:szCs w:val="18"/>
        </w:rPr>
        <w:t>-</w:t>
      </w:r>
      <w:r>
        <w:rPr>
          <w:rFonts w:ascii="Verdana" w:hAnsi="Verdana"/>
          <w:bCs/>
          <w:sz w:val="18"/>
          <w:szCs w:val="18"/>
        </w:rPr>
        <w:t>arbeidsmarkttekort. ENISA zal een set aan indicatoren ontwikkelen voor cybersecurityexpertise, data verzamelen op basis van deze indicatoren en rapporteren over ontwikkelingen. De Commissie zet zich in om de</w:t>
      </w:r>
      <w:r w:rsidR="000628C8">
        <w:rPr>
          <w:rFonts w:ascii="Verdana" w:hAnsi="Verdana"/>
          <w:bCs/>
          <w:sz w:val="18"/>
          <w:szCs w:val="18"/>
        </w:rPr>
        <w:t xml:space="preserve"> ontwikkelde indicatoren te integreren in haar rapportage over digitale ontwikkelingen via de </w:t>
      </w:r>
      <w:r w:rsidR="000628C8">
        <w:rPr>
          <w:rFonts w:ascii="Verdana" w:hAnsi="Verdana"/>
          <w:bCs/>
          <w:i/>
          <w:iCs/>
          <w:sz w:val="18"/>
          <w:szCs w:val="18"/>
        </w:rPr>
        <w:t xml:space="preserve">Digital Economy and Society Index </w:t>
      </w:r>
      <w:r w:rsidR="000628C8">
        <w:rPr>
          <w:rFonts w:ascii="Verdana" w:hAnsi="Verdana"/>
          <w:bCs/>
          <w:sz w:val="18"/>
          <w:szCs w:val="18"/>
        </w:rPr>
        <w:t xml:space="preserve">(DESI) en het </w:t>
      </w:r>
      <w:r w:rsidR="000628C8">
        <w:rPr>
          <w:rFonts w:ascii="Verdana" w:hAnsi="Verdana"/>
          <w:bCs/>
          <w:i/>
          <w:iCs/>
          <w:sz w:val="18"/>
          <w:szCs w:val="18"/>
        </w:rPr>
        <w:t xml:space="preserve">State of the Digital Decade </w:t>
      </w:r>
      <w:r w:rsidR="00613DD0">
        <w:rPr>
          <w:rFonts w:ascii="Verdana" w:hAnsi="Verdana"/>
          <w:bCs/>
          <w:sz w:val="18"/>
          <w:szCs w:val="18"/>
        </w:rPr>
        <w:t>r</w:t>
      </w:r>
      <w:r w:rsidR="000628C8">
        <w:rPr>
          <w:rFonts w:ascii="Verdana" w:hAnsi="Verdana"/>
          <w:bCs/>
          <w:sz w:val="18"/>
          <w:szCs w:val="18"/>
        </w:rPr>
        <w:t>ap</w:t>
      </w:r>
      <w:r w:rsidR="00E97351">
        <w:rPr>
          <w:rFonts w:ascii="Verdana" w:hAnsi="Verdana"/>
          <w:bCs/>
          <w:sz w:val="18"/>
          <w:szCs w:val="18"/>
        </w:rPr>
        <w:t>p</w:t>
      </w:r>
      <w:r w:rsidR="000628C8">
        <w:rPr>
          <w:rFonts w:ascii="Verdana" w:hAnsi="Verdana"/>
          <w:bCs/>
          <w:sz w:val="18"/>
          <w:szCs w:val="18"/>
        </w:rPr>
        <w:t>ort.</w:t>
      </w:r>
      <w:r w:rsidR="00941923">
        <w:rPr>
          <w:rStyle w:val="Voetnootmarkering"/>
          <w:rFonts w:ascii="Verdana" w:hAnsi="Verdana"/>
          <w:bCs/>
          <w:sz w:val="18"/>
          <w:szCs w:val="18"/>
        </w:rPr>
        <w:footnoteReference w:id="5"/>
      </w:r>
      <w:r w:rsidR="000628C8">
        <w:rPr>
          <w:rFonts w:ascii="Verdana" w:hAnsi="Verdana"/>
          <w:bCs/>
          <w:sz w:val="18"/>
          <w:szCs w:val="18"/>
        </w:rPr>
        <w:t xml:space="preserve"> </w:t>
      </w:r>
      <w:r w:rsidR="000332C1">
        <w:rPr>
          <w:rFonts w:ascii="Verdana" w:hAnsi="Verdana"/>
          <w:bCs/>
          <w:sz w:val="18"/>
          <w:szCs w:val="18"/>
        </w:rPr>
        <w:t xml:space="preserve">   </w:t>
      </w:r>
    </w:p>
    <w:p w:rsidR="00616B55" w:rsidP="0064352A" w:rsidRDefault="00616B55" w14:paraId="1AD3DB0F" w14:textId="77777777">
      <w:pPr>
        <w:tabs>
          <w:tab w:val="left" w:pos="360"/>
          <w:tab w:val="left" w:pos="4500"/>
          <w:tab w:val="left" w:pos="5580"/>
        </w:tabs>
        <w:spacing w:line="360" w:lineRule="auto"/>
        <w:rPr>
          <w:rFonts w:ascii="Verdana" w:hAnsi="Verdana"/>
          <w:sz w:val="18"/>
          <w:szCs w:val="18"/>
        </w:rPr>
      </w:pPr>
    </w:p>
    <w:p w:rsidR="008528D9" w:rsidP="008528D9" w:rsidRDefault="008528D9" w14:paraId="4C8792EF"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Pr="00372A30" w:rsidR="00CF08A7" w:rsidP="00372A30" w:rsidRDefault="00FD0CBD" w14:paraId="50686E23" w14:textId="77777777">
      <w:pPr>
        <w:numPr>
          <w:ilvl w:val="0"/>
          <w:numId w:val="21"/>
        </w:numPr>
        <w:spacing w:line="360" w:lineRule="auto"/>
        <w:rPr>
          <w:rFonts w:ascii="Verdana" w:hAnsi="Verdana"/>
          <w:sz w:val="18"/>
          <w:szCs w:val="18"/>
        </w:rPr>
      </w:pPr>
      <w:r w:rsidRPr="00FD0CBD">
        <w:rPr>
          <w:rFonts w:ascii="Verdana" w:hAnsi="Verdana"/>
          <w:i/>
          <w:sz w:val="18"/>
          <w:szCs w:val="18"/>
        </w:rPr>
        <w:t>Essentie Nederlands beleid op dit terrein</w:t>
      </w:r>
    </w:p>
    <w:p w:rsidR="009A590E" w:rsidP="009A590E" w:rsidRDefault="003B0797" w14:paraId="51560B42" w14:textId="77777777">
      <w:pPr>
        <w:spacing w:line="360" w:lineRule="auto"/>
        <w:rPr>
          <w:rFonts w:ascii="Verdana" w:hAnsi="Verdana"/>
          <w:bCs/>
          <w:sz w:val="18"/>
          <w:szCs w:val="18"/>
        </w:rPr>
      </w:pPr>
      <w:r w:rsidRPr="00540D4B">
        <w:rPr>
          <w:rFonts w:ascii="Verdana" w:hAnsi="Verdana"/>
          <w:bCs/>
          <w:sz w:val="18"/>
          <w:szCs w:val="18"/>
        </w:rPr>
        <w:t xml:space="preserve">Het Nederlandse beleid op het gebied van cybersecurityonderwijs en </w:t>
      </w:r>
      <w:r w:rsidR="003A5C75">
        <w:rPr>
          <w:rFonts w:ascii="Verdana" w:hAnsi="Verdana"/>
          <w:bCs/>
          <w:sz w:val="18"/>
          <w:szCs w:val="18"/>
        </w:rPr>
        <w:t>-</w:t>
      </w:r>
      <w:r w:rsidRPr="00540D4B">
        <w:rPr>
          <w:rFonts w:ascii="Verdana" w:hAnsi="Verdana"/>
          <w:bCs/>
          <w:sz w:val="18"/>
          <w:szCs w:val="18"/>
        </w:rPr>
        <w:t xml:space="preserve">arbeidsmarkt wordt </w:t>
      </w:r>
      <w:r w:rsidR="004D433F">
        <w:rPr>
          <w:rFonts w:ascii="Verdana" w:hAnsi="Verdana"/>
          <w:bCs/>
          <w:sz w:val="18"/>
          <w:szCs w:val="18"/>
        </w:rPr>
        <w:t>uiteengezet</w:t>
      </w:r>
      <w:r w:rsidRPr="00540D4B">
        <w:rPr>
          <w:rFonts w:ascii="Verdana" w:hAnsi="Verdana"/>
          <w:bCs/>
          <w:sz w:val="18"/>
          <w:szCs w:val="18"/>
        </w:rPr>
        <w:t xml:space="preserve"> in de Nederlandse Cybersecurity</w:t>
      </w:r>
      <w:r w:rsidR="00451D66">
        <w:rPr>
          <w:rFonts w:ascii="Verdana" w:hAnsi="Verdana"/>
          <w:bCs/>
          <w:sz w:val="18"/>
          <w:szCs w:val="18"/>
        </w:rPr>
        <w:t>s</w:t>
      </w:r>
      <w:r w:rsidRPr="00540D4B">
        <w:rPr>
          <w:rFonts w:ascii="Verdana" w:hAnsi="Verdana"/>
          <w:bCs/>
          <w:sz w:val="18"/>
          <w:szCs w:val="18"/>
        </w:rPr>
        <w:t>trategie 2022</w:t>
      </w:r>
      <w:r w:rsidR="004D433F">
        <w:rPr>
          <w:rFonts w:ascii="Verdana" w:hAnsi="Verdana"/>
          <w:bCs/>
          <w:sz w:val="18"/>
          <w:szCs w:val="18"/>
        </w:rPr>
        <w:t>-2028</w:t>
      </w:r>
      <w:r w:rsidR="00641C9F">
        <w:rPr>
          <w:rFonts w:ascii="Verdana" w:hAnsi="Verdana"/>
          <w:bCs/>
          <w:sz w:val="18"/>
          <w:szCs w:val="18"/>
        </w:rPr>
        <w:t xml:space="preserve"> (hierna: NLCS)</w:t>
      </w:r>
      <w:r w:rsidR="009A590E">
        <w:rPr>
          <w:rFonts w:ascii="Verdana" w:hAnsi="Verdana"/>
          <w:bCs/>
          <w:sz w:val="18"/>
          <w:szCs w:val="18"/>
        </w:rPr>
        <w:t xml:space="preserve"> en het onderliggende Actieplan</w:t>
      </w:r>
      <w:r w:rsidRPr="00540D4B">
        <w:rPr>
          <w:rFonts w:ascii="Verdana" w:hAnsi="Verdana"/>
          <w:bCs/>
          <w:sz w:val="18"/>
          <w:szCs w:val="18"/>
        </w:rPr>
        <w:t>.</w:t>
      </w:r>
      <w:r w:rsidR="00FB523F">
        <w:rPr>
          <w:rStyle w:val="Voetnootmarkering"/>
          <w:rFonts w:ascii="Verdana" w:hAnsi="Verdana"/>
          <w:bCs/>
          <w:sz w:val="18"/>
          <w:szCs w:val="18"/>
        </w:rPr>
        <w:footnoteReference w:id="6"/>
      </w:r>
      <w:r w:rsidRPr="00FB523F" w:rsidR="00FB523F">
        <w:rPr>
          <w:rStyle w:val="Voetnootmarkering"/>
          <w:rFonts w:ascii="Verdana" w:hAnsi="Verdana"/>
          <w:bCs/>
          <w:sz w:val="18"/>
          <w:szCs w:val="18"/>
        </w:rPr>
        <w:t xml:space="preserve"> </w:t>
      </w:r>
      <w:r w:rsidRPr="00540D4B" w:rsidR="00540D4B">
        <w:rPr>
          <w:rFonts w:ascii="Verdana" w:hAnsi="Verdana"/>
          <w:bCs/>
          <w:sz w:val="18"/>
          <w:szCs w:val="18"/>
        </w:rPr>
        <w:t xml:space="preserve">Om de toenemende vraag naar cybersecurityexpertise het hoofd te bieden </w:t>
      </w:r>
      <w:r w:rsidR="004D433F">
        <w:rPr>
          <w:rFonts w:ascii="Verdana" w:hAnsi="Verdana"/>
          <w:bCs/>
          <w:sz w:val="18"/>
          <w:szCs w:val="18"/>
        </w:rPr>
        <w:t>wordt</w:t>
      </w:r>
      <w:r w:rsidRPr="00540D4B" w:rsidR="00540D4B">
        <w:rPr>
          <w:rFonts w:ascii="Verdana" w:hAnsi="Verdana"/>
          <w:bCs/>
          <w:sz w:val="18"/>
          <w:szCs w:val="18"/>
        </w:rPr>
        <w:t xml:space="preserve"> ingezet op voldoende specialisten op de arbeidsmarkt. </w:t>
      </w:r>
      <w:r w:rsidRPr="00451D66" w:rsidR="00451D66">
        <w:rPr>
          <w:rFonts w:ascii="Verdana" w:hAnsi="Verdana"/>
          <w:bCs/>
          <w:sz w:val="18"/>
          <w:szCs w:val="18"/>
        </w:rPr>
        <w:t>Daartoe heeft het kabinet drie subdoelen geïdentificeerd. Ten eerste, zicht op de tekorten op de cybersecurity-arbeidsmarkt en hoe deze het hoofd te bieden. Ten tweede, meer mbo-, hbo- en wo-cybersecurityopleidingsplekken die aansluiten op de arbeidsmarkt, mede door een bijdrage van bedrijven en kennisinstellingen. Ten derde, bij- en omscholingsprogramma’s voor cybersecurity-expertise, aangeboden door organisaties.</w:t>
      </w:r>
    </w:p>
    <w:p w:rsidR="009A590E" w:rsidP="009A590E" w:rsidRDefault="009A590E" w14:paraId="6CFAB4F2" w14:textId="77777777">
      <w:pPr>
        <w:spacing w:line="360" w:lineRule="auto"/>
        <w:rPr>
          <w:rFonts w:ascii="Verdana" w:hAnsi="Verdana"/>
          <w:bCs/>
          <w:sz w:val="18"/>
          <w:szCs w:val="18"/>
        </w:rPr>
      </w:pPr>
    </w:p>
    <w:p w:rsidR="00A63B21" w:rsidP="00E910FE" w:rsidRDefault="00451D66" w14:paraId="68FC9D2D" w14:textId="77777777">
      <w:pPr>
        <w:spacing w:line="360" w:lineRule="auto"/>
        <w:rPr>
          <w:rFonts w:ascii="Verdana" w:hAnsi="Verdana"/>
          <w:bCs/>
          <w:sz w:val="18"/>
          <w:szCs w:val="18"/>
        </w:rPr>
      </w:pPr>
      <w:r>
        <w:rPr>
          <w:rFonts w:ascii="Verdana" w:hAnsi="Verdana"/>
          <w:bCs/>
          <w:sz w:val="18"/>
          <w:szCs w:val="18"/>
        </w:rPr>
        <w:t>Hieruit volgen een aantal con</w:t>
      </w:r>
      <w:r w:rsidR="0058159F">
        <w:rPr>
          <w:rFonts w:ascii="Verdana" w:hAnsi="Verdana"/>
          <w:bCs/>
          <w:sz w:val="18"/>
          <w:szCs w:val="18"/>
        </w:rPr>
        <w:t>c</w:t>
      </w:r>
      <w:r>
        <w:rPr>
          <w:rFonts w:ascii="Verdana" w:hAnsi="Verdana"/>
          <w:bCs/>
          <w:sz w:val="18"/>
          <w:szCs w:val="18"/>
        </w:rPr>
        <w:t xml:space="preserve">rete acties. </w:t>
      </w:r>
      <w:r w:rsidR="009A590E">
        <w:rPr>
          <w:rFonts w:ascii="Verdana" w:hAnsi="Verdana"/>
          <w:bCs/>
          <w:sz w:val="18"/>
          <w:szCs w:val="18"/>
        </w:rPr>
        <w:t xml:space="preserve">Onder begeleiding van </w:t>
      </w:r>
      <w:r w:rsidR="003A5C75">
        <w:rPr>
          <w:rFonts w:ascii="Verdana" w:hAnsi="Verdana"/>
          <w:bCs/>
          <w:sz w:val="18"/>
          <w:szCs w:val="18"/>
        </w:rPr>
        <w:t xml:space="preserve">het </w:t>
      </w:r>
      <w:r w:rsidR="00C02BA1">
        <w:rPr>
          <w:rFonts w:ascii="Verdana" w:hAnsi="Verdana"/>
          <w:bCs/>
          <w:sz w:val="18"/>
          <w:szCs w:val="18"/>
        </w:rPr>
        <w:t>kabinet</w:t>
      </w:r>
      <w:r w:rsidR="009A590E">
        <w:rPr>
          <w:rFonts w:ascii="Verdana" w:hAnsi="Verdana"/>
          <w:bCs/>
          <w:sz w:val="18"/>
          <w:szCs w:val="18"/>
        </w:rPr>
        <w:t xml:space="preserve"> werken onderwijsinstellingen </w:t>
      </w:r>
      <w:r w:rsidRPr="009A590E" w:rsidR="009A590E">
        <w:rPr>
          <w:rFonts w:ascii="Verdana" w:hAnsi="Verdana"/>
          <w:bCs/>
          <w:sz w:val="18"/>
          <w:szCs w:val="18"/>
        </w:rPr>
        <w:t>aan bij</w:t>
      </w:r>
      <w:r w:rsidR="009A590E">
        <w:rPr>
          <w:rFonts w:ascii="Verdana" w:hAnsi="Verdana"/>
          <w:bCs/>
          <w:sz w:val="18"/>
          <w:szCs w:val="18"/>
        </w:rPr>
        <w:t xml:space="preserve">- </w:t>
      </w:r>
      <w:r w:rsidRPr="009A590E" w:rsidR="009A590E">
        <w:rPr>
          <w:rFonts w:ascii="Verdana" w:hAnsi="Verdana"/>
          <w:bCs/>
          <w:sz w:val="18"/>
          <w:szCs w:val="18"/>
        </w:rPr>
        <w:t>en omscholingsprogramma’s om de</w:t>
      </w:r>
      <w:r w:rsidR="009A590E">
        <w:rPr>
          <w:rFonts w:ascii="Verdana" w:hAnsi="Verdana"/>
          <w:bCs/>
          <w:sz w:val="18"/>
          <w:szCs w:val="18"/>
        </w:rPr>
        <w:t xml:space="preserve"> </w:t>
      </w:r>
      <w:r w:rsidRPr="009A590E" w:rsidR="009A590E">
        <w:rPr>
          <w:rFonts w:ascii="Verdana" w:hAnsi="Verdana"/>
          <w:bCs/>
          <w:sz w:val="18"/>
          <w:szCs w:val="18"/>
        </w:rPr>
        <w:t>cybersecurityexpertise van werknemers</w:t>
      </w:r>
      <w:r w:rsidR="009A590E">
        <w:rPr>
          <w:rFonts w:ascii="Verdana" w:hAnsi="Verdana"/>
          <w:bCs/>
          <w:sz w:val="18"/>
          <w:szCs w:val="18"/>
        </w:rPr>
        <w:t xml:space="preserve"> </w:t>
      </w:r>
      <w:r w:rsidRPr="009A590E" w:rsidR="009A590E">
        <w:rPr>
          <w:rFonts w:ascii="Verdana" w:hAnsi="Verdana"/>
          <w:bCs/>
          <w:sz w:val="18"/>
          <w:szCs w:val="18"/>
        </w:rPr>
        <w:t>te vergroten</w:t>
      </w:r>
      <w:r w:rsidR="00581680">
        <w:rPr>
          <w:rFonts w:ascii="Verdana" w:hAnsi="Verdana"/>
          <w:bCs/>
          <w:sz w:val="18"/>
          <w:szCs w:val="18"/>
        </w:rPr>
        <w:t xml:space="preserve"> en </w:t>
      </w:r>
      <w:r w:rsidRPr="009A590E" w:rsidR="00581680">
        <w:rPr>
          <w:rFonts w:ascii="Verdana" w:hAnsi="Verdana"/>
          <w:bCs/>
          <w:sz w:val="18"/>
          <w:szCs w:val="18"/>
        </w:rPr>
        <w:t>de</w:t>
      </w:r>
      <w:r w:rsidR="00581680">
        <w:rPr>
          <w:rFonts w:ascii="Verdana" w:hAnsi="Verdana"/>
          <w:bCs/>
          <w:sz w:val="18"/>
          <w:szCs w:val="18"/>
        </w:rPr>
        <w:t xml:space="preserve"> </w:t>
      </w:r>
      <w:r w:rsidRPr="009A590E" w:rsidR="00581680">
        <w:rPr>
          <w:rFonts w:ascii="Verdana" w:hAnsi="Verdana"/>
          <w:bCs/>
          <w:sz w:val="18"/>
          <w:szCs w:val="18"/>
        </w:rPr>
        <w:t>arbeidsmarkttekorten in te perken</w:t>
      </w:r>
      <w:r w:rsidRPr="009A590E" w:rsidR="009A590E">
        <w:rPr>
          <w:rFonts w:ascii="Verdana" w:hAnsi="Verdana"/>
          <w:bCs/>
          <w:sz w:val="18"/>
          <w:szCs w:val="18"/>
        </w:rPr>
        <w:t xml:space="preserve">. </w:t>
      </w:r>
      <w:r w:rsidR="009A590E">
        <w:rPr>
          <w:rFonts w:ascii="Verdana" w:hAnsi="Verdana"/>
          <w:bCs/>
          <w:sz w:val="18"/>
          <w:szCs w:val="18"/>
        </w:rPr>
        <w:t xml:space="preserve">Daarnaast investeert </w:t>
      </w:r>
      <w:r w:rsidR="003A5C75">
        <w:rPr>
          <w:rFonts w:ascii="Verdana" w:hAnsi="Verdana"/>
          <w:bCs/>
          <w:sz w:val="18"/>
          <w:szCs w:val="18"/>
        </w:rPr>
        <w:t>het kabinet</w:t>
      </w:r>
      <w:r w:rsidR="0008276C">
        <w:rPr>
          <w:rFonts w:ascii="Verdana" w:hAnsi="Verdana"/>
          <w:bCs/>
          <w:sz w:val="18"/>
          <w:szCs w:val="18"/>
        </w:rPr>
        <w:t xml:space="preserve"> structureel</w:t>
      </w:r>
      <w:r w:rsidR="009A590E">
        <w:rPr>
          <w:rFonts w:ascii="Verdana" w:hAnsi="Verdana"/>
          <w:bCs/>
          <w:sz w:val="18"/>
          <w:szCs w:val="18"/>
        </w:rPr>
        <w:t xml:space="preserve"> in </w:t>
      </w:r>
      <w:r w:rsidRPr="009A590E" w:rsidR="009A590E">
        <w:rPr>
          <w:rFonts w:ascii="Verdana" w:hAnsi="Verdana"/>
          <w:bCs/>
          <w:sz w:val="18"/>
          <w:szCs w:val="18"/>
        </w:rPr>
        <w:t>hbo-opleidingen in de bètatechniek, waar cybersecurityopleidingen ook onderdeel van</w:t>
      </w:r>
      <w:r w:rsidR="009A590E">
        <w:rPr>
          <w:rFonts w:ascii="Verdana" w:hAnsi="Verdana"/>
          <w:bCs/>
          <w:sz w:val="18"/>
          <w:szCs w:val="18"/>
        </w:rPr>
        <w:t xml:space="preserve"> </w:t>
      </w:r>
      <w:r w:rsidRPr="009A590E" w:rsidR="009A590E">
        <w:rPr>
          <w:rFonts w:ascii="Verdana" w:hAnsi="Verdana"/>
          <w:bCs/>
          <w:sz w:val="18"/>
          <w:szCs w:val="18"/>
        </w:rPr>
        <w:t>zijn.</w:t>
      </w:r>
      <w:r w:rsidR="002707DF">
        <w:rPr>
          <w:rStyle w:val="Voetnootmarkering"/>
          <w:rFonts w:ascii="Verdana" w:hAnsi="Verdana"/>
          <w:bCs/>
          <w:sz w:val="18"/>
          <w:szCs w:val="18"/>
        </w:rPr>
        <w:footnoteReference w:id="7"/>
      </w:r>
      <w:r w:rsidRPr="009A590E" w:rsidR="009A590E">
        <w:rPr>
          <w:rFonts w:ascii="Verdana" w:hAnsi="Verdana"/>
          <w:bCs/>
          <w:sz w:val="18"/>
          <w:szCs w:val="18"/>
        </w:rPr>
        <w:t xml:space="preserve"> </w:t>
      </w:r>
      <w:r w:rsidR="00581680">
        <w:rPr>
          <w:rFonts w:ascii="Verdana" w:hAnsi="Verdana"/>
          <w:bCs/>
          <w:sz w:val="18"/>
          <w:szCs w:val="18"/>
        </w:rPr>
        <w:t>Ook</w:t>
      </w:r>
      <w:r w:rsidR="009A590E">
        <w:rPr>
          <w:rFonts w:ascii="Verdana" w:hAnsi="Verdana"/>
          <w:bCs/>
          <w:sz w:val="18"/>
          <w:szCs w:val="18"/>
        </w:rPr>
        <w:t xml:space="preserve"> wordt onder leiding van </w:t>
      </w:r>
      <w:r w:rsidR="003A5C75">
        <w:rPr>
          <w:rFonts w:ascii="Verdana" w:hAnsi="Verdana"/>
          <w:bCs/>
          <w:sz w:val="18"/>
          <w:szCs w:val="18"/>
        </w:rPr>
        <w:t xml:space="preserve">het </w:t>
      </w:r>
      <w:r w:rsidR="00C02BA1">
        <w:rPr>
          <w:rFonts w:ascii="Verdana" w:hAnsi="Verdana"/>
          <w:bCs/>
          <w:sz w:val="18"/>
          <w:szCs w:val="18"/>
        </w:rPr>
        <w:t>kabinet</w:t>
      </w:r>
      <w:r w:rsidR="009A590E">
        <w:rPr>
          <w:rFonts w:ascii="Verdana" w:hAnsi="Verdana"/>
          <w:bCs/>
          <w:sz w:val="18"/>
          <w:szCs w:val="18"/>
        </w:rPr>
        <w:t xml:space="preserve"> </w:t>
      </w:r>
      <w:r w:rsidRPr="009A590E" w:rsidR="009A590E">
        <w:rPr>
          <w:rFonts w:ascii="Verdana" w:hAnsi="Verdana"/>
          <w:bCs/>
          <w:sz w:val="18"/>
          <w:szCs w:val="18"/>
        </w:rPr>
        <w:t>voor een</w:t>
      </w:r>
      <w:r w:rsidR="009A590E">
        <w:rPr>
          <w:rFonts w:ascii="Verdana" w:hAnsi="Verdana"/>
          <w:bCs/>
          <w:sz w:val="18"/>
          <w:szCs w:val="18"/>
        </w:rPr>
        <w:t xml:space="preserve"> </w:t>
      </w:r>
      <w:r w:rsidRPr="009A590E" w:rsidR="009A590E">
        <w:rPr>
          <w:rFonts w:ascii="Verdana" w:hAnsi="Verdana"/>
          <w:bCs/>
          <w:sz w:val="18"/>
          <w:szCs w:val="18"/>
        </w:rPr>
        <w:t xml:space="preserve">aantal </w:t>
      </w:r>
      <w:r w:rsidR="0008276C">
        <w:rPr>
          <w:rFonts w:ascii="Verdana" w:hAnsi="Verdana"/>
          <w:bCs/>
          <w:sz w:val="18"/>
          <w:szCs w:val="18"/>
        </w:rPr>
        <w:t>domeinen</w:t>
      </w:r>
      <w:r w:rsidRPr="009A590E" w:rsidR="009A590E">
        <w:rPr>
          <w:rFonts w:ascii="Verdana" w:hAnsi="Verdana"/>
          <w:bCs/>
          <w:sz w:val="18"/>
          <w:szCs w:val="18"/>
        </w:rPr>
        <w:t xml:space="preserve"> in het</w:t>
      </w:r>
      <w:r w:rsidR="009A590E">
        <w:rPr>
          <w:rFonts w:ascii="Verdana" w:hAnsi="Verdana"/>
          <w:bCs/>
          <w:sz w:val="18"/>
          <w:szCs w:val="18"/>
        </w:rPr>
        <w:t xml:space="preserve"> </w:t>
      </w:r>
      <w:r w:rsidR="00335A6B">
        <w:rPr>
          <w:rFonts w:ascii="Verdana" w:hAnsi="Verdana"/>
          <w:bCs/>
          <w:sz w:val="18"/>
          <w:szCs w:val="18"/>
        </w:rPr>
        <w:t>wetenschappelijk onderwijs</w:t>
      </w:r>
      <w:r w:rsidRPr="009A590E" w:rsidR="009A590E">
        <w:rPr>
          <w:rFonts w:ascii="Verdana" w:hAnsi="Verdana"/>
          <w:bCs/>
          <w:sz w:val="18"/>
          <w:szCs w:val="18"/>
        </w:rPr>
        <w:t xml:space="preserve"> vanuit de sectorplannen</w:t>
      </w:r>
      <w:r w:rsidR="009A590E">
        <w:rPr>
          <w:rFonts w:ascii="Verdana" w:hAnsi="Verdana"/>
          <w:bCs/>
          <w:sz w:val="18"/>
          <w:szCs w:val="18"/>
        </w:rPr>
        <w:t xml:space="preserve"> </w:t>
      </w:r>
      <w:r w:rsidR="00C33AE6">
        <w:rPr>
          <w:rFonts w:ascii="Verdana" w:hAnsi="Verdana"/>
          <w:bCs/>
          <w:sz w:val="18"/>
          <w:szCs w:val="18"/>
        </w:rPr>
        <w:t xml:space="preserve">structureel </w:t>
      </w:r>
      <w:r w:rsidRPr="009A590E" w:rsidR="009A590E">
        <w:rPr>
          <w:rFonts w:ascii="Verdana" w:hAnsi="Verdana"/>
          <w:bCs/>
          <w:sz w:val="18"/>
          <w:szCs w:val="18"/>
        </w:rPr>
        <w:t>geïnvesteerd in cybersecurity.</w:t>
      </w:r>
      <w:r w:rsidR="002707DF">
        <w:rPr>
          <w:rStyle w:val="Voetnootmarkering"/>
          <w:rFonts w:ascii="Verdana" w:hAnsi="Verdana"/>
          <w:bCs/>
          <w:sz w:val="18"/>
          <w:szCs w:val="18"/>
        </w:rPr>
        <w:footnoteReference w:id="8"/>
      </w:r>
      <w:r w:rsidRPr="009A590E" w:rsidR="009A590E">
        <w:rPr>
          <w:rFonts w:ascii="Verdana" w:hAnsi="Verdana"/>
          <w:bCs/>
          <w:sz w:val="18"/>
          <w:szCs w:val="18"/>
        </w:rPr>
        <w:t xml:space="preserve"> </w:t>
      </w:r>
      <w:r w:rsidRPr="0008276C" w:rsidR="0008276C">
        <w:rPr>
          <w:rFonts w:ascii="Verdana" w:hAnsi="Verdana"/>
          <w:bCs/>
          <w:sz w:val="18"/>
          <w:szCs w:val="18"/>
        </w:rPr>
        <w:t xml:space="preserve">Naar aanleiding van het advies van de commissie sectorplan Bèta en techniek, </w:t>
      </w:r>
      <w:r w:rsidR="002707DF">
        <w:rPr>
          <w:rFonts w:ascii="Verdana" w:hAnsi="Verdana"/>
          <w:bCs/>
          <w:sz w:val="18"/>
          <w:szCs w:val="18"/>
        </w:rPr>
        <w:t xml:space="preserve">heeft het kabinet besloten om van </w:t>
      </w:r>
      <w:r w:rsidRPr="0008276C" w:rsidR="0008276C">
        <w:rPr>
          <w:rFonts w:ascii="Verdana" w:hAnsi="Verdana"/>
          <w:bCs/>
          <w:sz w:val="18"/>
          <w:szCs w:val="18"/>
        </w:rPr>
        <w:t xml:space="preserve">2019 tot en met 2025 </w:t>
      </w:r>
      <w:r w:rsidR="002707DF">
        <w:rPr>
          <w:rFonts w:ascii="Verdana" w:hAnsi="Verdana"/>
          <w:bCs/>
          <w:sz w:val="18"/>
          <w:szCs w:val="18"/>
        </w:rPr>
        <w:t xml:space="preserve">te investeren </w:t>
      </w:r>
      <w:r w:rsidRPr="0008276C" w:rsidR="0008276C">
        <w:rPr>
          <w:rFonts w:ascii="Verdana" w:hAnsi="Verdana"/>
          <w:bCs/>
          <w:sz w:val="18"/>
          <w:szCs w:val="18"/>
        </w:rPr>
        <w:t>in de sector bèta.</w:t>
      </w:r>
      <w:r w:rsidR="002707DF">
        <w:rPr>
          <w:rStyle w:val="Voetnootmarkering"/>
          <w:rFonts w:ascii="Verdana" w:hAnsi="Verdana"/>
          <w:bCs/>
          <w:sz w:val="18"/>
          <w:szCs w:val="18"/>
        </w:rPr>
        <w:footnoteReference w:id="9"/>
      </w:r>
      <w:r w:rsidRPr="0008276C" w:rsidR="0008276C">
        <w:rPr>
          <w:rFonts w:ascii="Verdana" w:hAnsi="Verdana"/>
          <w:bCs/>
          <w:sz w:val="18"/>
          <w:szCs w:val="18"/>
        </w:rPr>
        <w:t xml:space="preserve"> Deze investering is gericht op betere samenwerking tussen universiteiten en versterking van het onderwijs, onderzoek en valorisatie.</w:t>
      </w:r>
      <w:r w:rsidR="0008276C">
        <w:rPr>
          <w:rFonts w:ascii="Verdana" w:hAnsi="Verdana"/>
          <w:bCs/>
          <w:sz w:val="18"/>
          <w:szCs w:val="18"/>
        </w:rPr>
        <w:t xml:space="preserve"> </w:t>
      </w:r>
    </w:p>
    <w:p w:rsidR="00A63B21" w:rsidP="00E910FE" w:rsidRDefault="00A63B21" w14:paraId="3E26AB87" w14:textId="77777777">
      <w:pPr>
        <w:spacing w:line="360" w:lineRule="auto"/>
        <w:rPr>
          <w:rFonts w:ascii="Verdana" w:hAnsi="Verdana"/>
          <w:bCs/>
          <w:sz w:val="18"/>
          <w:szCs w:val="18"/>
        </w:rPr>
      </w:pPr>
    </w:p>
    <w:p w:rsidR="00F83BB6" w:rsidP="00E910FE" w:rsidRDefault="00581680" w14:paraId="6C8F2E43" w14:textId="77777777">
      <w:pPr>
        <w:spacing w:line="360" w:lineRule="auto"/>
        <w:rPr>
          <w:rFonts w:ascii="Verdana" w:hAnsi="Verdana"/>
          <w:bCs/>
          <w:sz w:val="18"/>
          <w:szCs w:val="18"/>
        </w:rPr>
      </w:pPr>
      <w:r>
        <w:rPr>
          <w:rFonts w:ascii="Verdana" w:hAnsi="Verdana"/>
          <w:bCs/>
          <w:sz w:val="18"/>
          <w:szCs w:val="18"/>
        </w:rPr>
        <w:lastRenderedPageBreak/>
        <w:t>Verder heeft het kabinet het actieplan Groene en Digitale Banen opgesteld als aanvulling op het generieke onderwijs- en arbeidsmarktbeleid.</w:t>
      </w:r>
      <w:r w:rsidR="00641C9F">
        <w:rPr>
          <w:rStyle w:val="Voetnootmarkering"/>
          <w:rFonts w:ascii="Verdana" w:hAnsi="Verdana"/>
          <w:bCs/>
          <w:sz w:val="18"/>
          <w:szCs w:val="18"/>
        </w:rPr>
        <w:footnoteReference w:id="10"/>
      </w:r>
      <w:r w:rsidRPr="00581680">
        <w:t xml:space="preserve"> </w:t>
      </w:r>
      <w:r w:rsidRPr="00581680">
        <w:rPr>
          <w:rFonts w:ascii="Verdana" w:hAnsi="Verdana"/>
          <w:bCs/>
          <w:sz w:val="18"/>
          <w:szCs w:val="18"/>
        </w:rPr>
        <w:t xml:space="preserve">Dit plan kent vier pijlers: het verhogen van de instroom in bètatechnisch onderwijs, het behoud en vergroten van de instroom in de bètatechnische arbeidsmarkt, arbeidsproductiviteitsgroei, en het versterken van governance en tegengaan van versnippering. </w:t>
      </w:r>
    </w:p>
    <w:p w:rsidR="00F83BB6" w:rsidP="00E910FE" w:rsidRDefault="00F83BB6" w14:paraId="4BEEA079" w14:textId="77777777">
      <w:pPr>
        <w:spacing w:line="360" w:lineRule="auto"/>
        <w:rPr>
          <w:rFonts w:ascii="Verdana" w:hAnsi="Verdana"/>
          <w:bCs/>
          <w:sz w:val="18"/>
          <w:szCs w:val="18"/>
        </w:rPr>
      </w:pPr>
    </w:p>
    <w:p w:rsidR="00213FCF" w:rsidP="00E910FE" w:rsidRDefault="00335A6B" w14:paraId="1C8F1D99" w14:textId="77777777">
      <w:pPr>
        <w:spacing w:line="360" w:lineRule="auto"/>
        <w:rPr>
          <w:rFonts w:ascii="Verdana" w:hAnsi="Verdana"/>
          <w:bCs/>
          <w:sz w:val="18"/>
          <w:szCs w:val="18"/>
        </w:rPr>
      </w:pPr>
      <w:r>
        <w:rPr>
          <w:rFonts w:ascii="Verdana" w:hAnsi="Verdana"/>
          <w:bCs/>
          <w:sz w:val="18"/>
          <w:szCs w:val="18"/>
        </w:rPr>
        <w:t xml:space="preserve">Het </w:t>
      </w:r>
      <w:r w:rsidR="008250CD">
        <w:rPr>
          <w:rFonts w:ascii="Verdana" w:hAnsi="Verdana"/>
          <w:bCs/>
          <w:sz w:val="18"/>
          <w:szCs w:val="18"/>
        </w:rPr>
        <w:t>kabinet</w:t>
      </w:r>
      <w:r w:rsidR="0060345F">
        <w:rPr>
          <w:rFonts w:ascii="Verdana" w:hAnsi="Verdana"/>
          <w:bCs/>
          <w:sz w:val="18"/>
          <w:szCs w:val="18"/>
        </w:rPr>
        <w:t xml:space="preserve"> laat in 2023 onderzoek uitvoeren om de </w:t>
      </w:r>
      <w:r w:rsidRPr="0060345F" w:rsidR="0060345F">
        <w:rPr>
          <w:rFonts w:ascii="Verdana" w:hAnsi="Verdana"/>
          <w:bCs/>
          <w:sz w:val="18"/>
          <w:szCs w:val="18"/>
        </w:rPr>
        <w:t>kwalitatieve en kwantitatieve tekorten op de cybersecurity arbeidsmarkt</w:t>
      </w:r>
      <w:r w:rsidR="0060345F">
        <w:rPr>
          <w:rFonts w:ascii="Verdana" w:hAnsi="Verdana"/>
          <w:bCs/>
          <w:sz w:val="18"/>
          <w:szCs w:val="18"/>
        </w:rPr>
        <w:t xml:space="preserve"> </w:t>
      </w:r>
      <w:r w:rsidR="000B2FF8">
        <w:rPr>
          <w:rFonts w:ascii="Verdana" w:hAnsi="Verdana"/>
          <w:bCs/>
          <w:sz w:val="18"/>
          <w:szCs w:val="18"/>
        </w:rPr>
        <w:t>in kaart te brengen</w:t>
      </w:r>
      <w:r w:rsidR="00CF08A7">
        <w:rPr>
          <w:rFonts w:ascii="Verdana" w:hAnsi="Verdana"/>
          <w:bCs/>
          <w:sz w:val="18"/>
          <w:szCs w:val="18"/>
        </w:rPr>
        <w:t>.</w:t>
      </w:r>
      <w:r w:rsidRPr="0060345F" w:rsidR="0060345F">
        <w:rPr>
          <w:rFonts w:ascii="Verdana" w:hAnsi="Verdana"/>
          <w:bCs/>
          <w:sz w:val="18"/>
          <w:szCs w:val="18"/>
        </w:rPr>
        <w:t xml:space="preserve"> </w:t>
      </w:r>
      <w:r w:rsidR="00CF08A7">
        <w:rPr>
          <w:rFonts w:ascii="Verdana" w:hAnsi="Verdana"/>
          <w:bCs/>
          <w:sz w:val="18"/>
          <w:szCs w:val="18"/>
        </w:rPr>
        <w:t>In dit onderzoek worden</w:t>
      </w:r>
      <w:r w:rsidRPr="0060345F" w:rsidR="00CF08A7">
        <w:rPr>
          <w:rFonts w:ascii="Verdana" w:hAnsi="Verdana"/>
          <w:bCs/>
          <w:sz w:val="18"/>
          <w:szCs w:val="18"/>
        </w:rPr>
        <w:t xml:space="preserve"> </w:t>
      </w:r>
      <w:r w:rsidRPr="0060345F" w:rsidR="0060345F">
        <w:rPr>
          <w:rFonts w:ascii="Verdana" w:hAnsi="Verdana"/>
          <w:bCs/>
          <w:sz w:val="18"/>
          <w:szCs w:val="18"/>
        </w:rPr>
        <w:t>aanbevelingen</w:t>
      </w:r>
      <w:r w:rsidR="00CF08A7">
        <w:rPr>
          <w:rFonts w:ascii="Verdana" w:hAnsi="Verdana"/>
          <w:bCs/>
          <w:sz w:val="18"/>
          <w:szCs w:val="18"/>
        </w:rPr>
        <w:t xml:space="preserve"> gedaan over</w:t>
      </w:r>
      <w:r w:rsidRPr="0060345F" w:rsidR="0060345F">
        <w:rPr>
          <w:rFonts w:ascii="Verdana" w:hAnsi="Verdana"/>
          <w:bCs/>
          <w:sz w:val="18"/>
          <w:szCs w:val="18"/>
        </w:rPr>
        <w:t xml:space="preserve"> hoe deze tekorten aan</w:t>
      </w:r>
      <w:r w:rsidR="00CF08A7">
        <w:rPr>
          <w:rFonts w:ascii="Verdana" w:hAnsi="Verdana"/>
          <w:bCs/>
          <w:sz w:val="18"/>
          <w:szCs w:val="18"/>
        </w:rPr>
        <w:t>gepakt kunnen worden</w:t>
      </w:r>
      <w:r w:rsidRPr="0060345F" w:rsidR="0060345F">
        <w:rPr>
          <w:rFonts w:ascii="Verdana" w:hAnsi="Verdana"/>
          <w:bCs/>
          <w:sz w:val="18"/>
          <w:szCs w:val="18"/>
        </w:rPr>
        <w:t>.</w:t>
      </w:r>
      <w:r w:rsidR="00E910FE">
        <w:rPr>
          <w:rFonts w:ascii="Verdana" w:hAnsi="Verdana"/>
          <w:bCs/>
          <w:sz w:val="18"/>
          <w:szCs w:val="18"/>
        </w:rPr>
        <w:t xml:space="preserve"> Daarnaast zet het kabinet zich </w:t>
      </w:r>
      <w:r w:rsidRPr="00E910FE" w:rsidR="00E910FE">
        <w:rPr>
          <w:rFonts w:ascii="Verdana" w:hAnsi="Verdana"/>
          <w:bCs/>
          <w:sz w:val="18"/>
          <w:szCs w:val="18"/>
        </w:rPr>
        <w:t>via de Human Capital</w:t>
      </w:r>
      <w:r w:rsidR="00E910FE">
        <w:rPr>
          <w:rFonts w:ascii="Verdana" w:hAnsi="Verdana"/>
          <w:bCs/>
          <w:sz w:val="18"/>
          <w:szCs w:val="18"/>
        </w:rPr>
        <w:t xml:space="preserve"> </w:t>
      </w:r>
      <w:r w:rsidRPr="00E910FE" w:rsidR="00E910FE">
        <w:rPr>
          <w:rFonts w:ascii="Verdana" w:hAnsi="Verdana"/>
          <w:bCs/>
          <w:sz w:val="18"/>
          <w:szCs w:val="18"/>
        </w:rPr>
        <w:t>Agenda ICT in om de instroom van</w:t>
      </w:r>
      <w:r w:rsidR="00E910FE">
        <w:rPr>
          <w:rFonts w:ascii="Verdana" w:hAnsi="Verdana"/>
          <w:bCs/>
          <w:sz w:val="18"/>
          <w:szCs w:val="18"/>
        </w:rPr>
        <w:t xml:space="preserve"> </w:t>
      </w:r>
      <w:r w:rsidRPr="00E910FE" w:rsidR="00E910FE">
        <w:rPr>
          <w:rFonts w:ascii="Verdana" w:hAnsi="Verdana"/>
          <w:bCs/>
          <w:sz w:val="18"/>
          <w:szCs w:val="18"/>
        </w:rPr>
        <w:t>ICT-specialisten</w:t>
      </w:r>
      <w:r w:rsidR="00E910FE">
        <w:rPr>
          <w:rFonts w:ascii="Verdana" w:hAnsi="Verdana"/>
          <w:bCs/>
          <w:sz w:val="18"/>
          <w:szCs w:val="18"/>
        </w:rPr>
        <w:t>, inclusief cybersecurity-specialisten,</w:t>
      </w:r>
      <w:r w:rsidRPr="00E910FE" w:rsidR="00E910FE">
        <w:rPr>
          <w:rFonts w:ascii="Verdana" w:hAnsi="Verdana"/>
          <w:bCs/>
          <w:sz w:val="18"/>
          <w:szCs w:val="18"/>
        </w:rPr>
        <w:t xml:space="preserve"> te</w:t>
      </w:r>
      <w:r w:rsidR="00E910FE">
        <w:rPr>
          <w:rFonts w:ascii="Verdana" w:hAnsi="Verdana"/>
          <w:bCs/>
          <w:sz w:val="18"/>
          <w:szCs w:val="18"/>
        </w:rPr>
        <w:t xml:space="preserve"> </w:t>
      </w:r>
      <w:r w:rsidRPr="00E910FE" w:rsidR="00E910FE">
        <w:rPr>
          <w:rFonts w:ascii="Verdana" w:hAnsi="Verdana"/>
          <w:bCs/>
          <w:sz w:val="18"/>
          <w:szCs w:val="18"/>
        </w:rPr>
        <w:t>vergroten en de kwaliteit van de</w:t>
      </w:r>
      <w:r w:rsidR="00E910FE">
        <w:rPr>
          <w:rFonts w:ascii="Verdana" w:hAnsi="Verdana"/>
          <w:bCs/>
          <w:sz w:val="18"/>
          <w:szCs w:val="18"/>
        </w:rPr>
        <w:t xml:space="preserve"> </w:t>
      </w:r>
      <w:r w:rsidRPr="00E910FE" w:rsidR="00E910FE">
        <w:rPr>
          <w:rFonts w:ascii="Verdana" w:hAnsi="Verdana"/>
          <w:bCs/>
          <w:sz w:val="18"/>
          <w:szCs w:val="18"/>
        </w:rPr>
        <w:t>instroom te beïnvloeden. Dit wordt in</w:t>
      </w:r>
      <w:r w:rsidR="00E910FE">
        <w:rPr>
          <w:rFonts w:ascii="Verdana" w:hAnsi="Verdana"/>
          <w:bCs/>
          <w:sz w:val="18"/>
          <w:szCs w:val="18"/>
        </w:rPr>
        <w:t xml:space="preserve"> </w:t>
      </w:r>
      <w:r w:rsidRPr="00E910FE" w:rsidR="00E910FE">
        <w:rPr>
          <w:rFonts w:ascii="Verdana" w:hAnsi="Verdana"/>
          <w:bCs/>
          <w:sz w:val="18"/>
          <w:szCs w:val="18"/>
        </w:rPr>
        <w:t>nauwe samenwerking met het bedrijfs</w:t>
      </w:r>
      <w:r w:rsidR="00E910FE">
        <w:rPr>
          <w:rFonts w:ascii="Verdana" w:hAnsi="Verdana"/>
          <w:bCs/>
          <w:sz w:val="18"/>
          <w:szCs w:val="18"/>
        </w:rPr>
        <w:t>l</w:t>
      </w:r>
      <w:r w:rsidRPr="00E910FE" w:rsidR="00E910FE">
        <w:rPr>
          <w:rFonts w:ascii="Verdana" w:hAnsi="Verdana"/>
          <w:bCs/>
          <w:sz w:val="18"/>
          <w:szCs w:val="18"/>
        </w:rPr>
        <w:t>even, regionale en lokale</w:t>
      </w:r>
      <w:r w:rsidR="00E910FE">
        <w:rPr>
          <w:rFonts w:ascii="Verdana" w:hAnsi="Verdana"/>
          <w:bCs/>
          <w:sz w:val="18"/>
          <w:szCs w:val="18"/>
        </w:rPr>
        <w:t xml:space="preserve"> </w:t>
      </w:r>
      <w:r w:rsidRPr="00E910FE" w:rsidR="00E910FE">
        <w:rPr>
          <w:rFonts w:ascii="Verdana" w:hAnsi="Verdana"/>
          <w:bCs/>
          <w:sz w:val="18"/>
          <w:szCs w:val="18"/>
        </w:rPr>
        <w:t>overheidsinstellingen en</w:t>
      </w:r>
      <w:r>
        <w:rPr>
          <w:rFonts w:ascii="Verdana" w:hAnsi="Verdana"/>
          <w:bCs/>
          <w:sz w:val="18"/>
          <w:szCs w:val="18"/>
        </w:rPr>
        <w:t xml:space="preserve"> </w:t>
      </w:r>
      <w:r w:rsidRPr="00E910FE" w:rsidR="00E910FE">
        <w:rPr>
          <w:rFonts w:ascii="Verdana" w:hAnsi="Verdana"/>
          <w:bCs/>
          <w:sz w:val="18"/>
          <w:szCs w:val="18"/>
        </w:rPr>
        <w:t>onderwijsinstellingen opgepakt.</w:t>
      </w:r>
      <w:r w:rsidR="00E910FE">
        <w:rPr>
          <w:rFonts w:ascii="Verdana" w:hAnsi="Verdana"/>
          <w:bCs/>
          <w:sz w:val="18"/>
          <w:szCs w:val="18"/>
        </w:rPr>
        <w:t xml:space="preserve"> </w:t>
      </w:r>
      <w:r w:rsidR="00581680">
        <w:rPr>
          <w:rFonts w:ascii="Verdana" w:hAnsi="Verdana"/>
          <w:bCs/>
          <w:sz w:val="18"/>
          <w:szCs w:val="18"/>
        </w:rPr>
        <w:t xml:space="preserve">De Taskforce diversiteit en inclusie is hierbij betrokken om ervoor te zorgen dat meer vrouwen en andere ondervertegenwoordigde groepen aan het werk gaan in de sector. </w:t>
      </w:r>
      <w:r w:rsidR="00E910FE">
        <w:rPr>
          <w:rFonts w:ascii="Verdana" w:hAnsi="Verdana"/>
          <w:bCs/>
          <w:sz w:val="18"/>
          <w:szCs w:val="18"/>
        </w:rPr>
        <w:t xml:space="preserve">Ten slotte </w:t>
      </w:r>
      <w:r w:rsidR="00CF08A7">
        <w:rPr>
          <w:rFonts w:ascii="Verdana" w:hAnsi="Verdana"/>
          <w:bCs/>
          <w:sz w:val="18"/>
          <w:szCs w:val="18"/>
        </w:rPr>
        <w:t xml:space="preserve">worden </w:t>
      </w:r>
      <w:r w:rsidR="00E910FE">
        <w:rPr>
          <w:rFonts w:ascii="Verdana" w:hAnsi="Verdana"/>
          <w:bCs/>
          <w:sz w:val="18"/>
          <w:szCs w:val="18"/>
        </w:rPr>
        <w:t xml:space="preserve">via het publiek-private samenwerkingsplatform </w:t>
      </w:r>
      <w:r w:rsidR="00E910FE">
        <w:rPr>
          <w:rFonts w:ascii="Verdana" w:hAnsi="Verdana"/>
          <w:bCs/>
          <w:i/>
          <w:iCs/>
          <w:sz w:val="18"/>
          <w:szCs w:val="18"/>
        </w:rPr>
        <w:t>dcypher</w:t>
      </w:r>
      <w:r w:rsidR="00CF08A7">
        <w:rPr>
          <w:rFonts w:ascii="Verdana" w:hAnsi="Verdana"/>
          <w:bCs/>
          <w:i/>
          <w:iCs/>
          <w:sz w:val="18"/>
          <w:szCs w:val="18"/>
        </w:rPr>
        <w:t>,</w:t>
      </w:r>
      <w:r w:rsidR="00E910FE">
        <w:rPr>
          <w:rFonts w:ascii="Verdana" w:hAnsi="Verdana"/>
          <w:bCs/>
          <w:sz w:val="18"/>
          <w:szCs w:val="18"/>
        </w:rPr>
        <w:t xml:space="preserve"> door middel van thematische routekaarten en </w:t>
      </w:r>
      <w:r w:rsidRPr="000B2FF8" w:rsidR="00E910FE">
        <w:rPr>
          <w:rFonts w:ascii="Verdana" w:hAnsi="Verdana"/>
          <w:bCs/>
          <w:i/>
          <w:iCs/>
          <w:sz w:val="18"/>
          <w:szCs w:val="18"/>
        </w:rPr>
        <w:t>communities</w:t>
      </w:r>
      <w:r w:rsidR="00CF08A7">
        <w:rPr>
          <w:rFonts w:ascii="Verdana" w:hAnsi="Verdana"/>
          <w:bCs/>
          <w:i/>
          <w:iCs/>
          <w:sz w:val="18"/>
          <w:szCs w:val="18"/>
        </w:rPr>
        <w:t>,</w:t>
      </w:r>
      <w:r w:rsidR="00E910FE">
        <w:rPr>
          <w:rFonts w:ascii="Verdana" w:hAnsi="Verdana"/>
          <w:bCs/>
          <w:sz w:val="18"/>
          <w:szCs w:val="18"/>
        </w:rPr>
        <w:t xml:space="preserve"> gesprekken gefaciliteerd tussen </w:t>
      </w:r>
      <w:r w:rsidRPr="00E910FE" w:rsidR="00E910FE">
        <w:rPr>
          <w:rFonts w:ascii="Verdana" w:hAnsi="Verdana"/>
          <w:bCs/>
          <w:sz w:val="18"/>
          <w:szCs w:val="18"/>
        </w:rPr>
        <w:t>kennisinstellingen</w:t>
      </w:r>
      <w:r w:rsidR="00E910FE">
        <w:rPr>
          <w:rFonts w:ascii="Verdana" w:hAnsi="Verdana"/>
          <w:bCs/>
          <w:sz w:val="18"/>
          <w:szCs w:val="18"/>
        </w:rPr>
        <w:t xml:space="preserve"> </w:t>
      </w:r>
      <w:r w:rsidRPr="00E910FE" w:rsidR="00E910FE">
        <w:rPr>
          <w:rFonts w:ascii="Verdana" w:hAnsi="Verdana"/>
          <w:bCs/>
          <w:sz w:val="18"/>
          <w:szCs w:val="18"/>
        </w:rPr>
        <w:t>en het bedrijfsleven met betrekking tot</w:t>
      </w:r>
      <w:r w:rsidR="00E910FE">
        <w:rPr>
          <w:rFonts w:ascii="Verdana" w:hAnsi="Verdana"/>
          <w:bCs/>
          <w:sz w:val="18"/>
          <w:szCs w:val="18"/>
        </w:rPr>
        <w:t xml:space="preserve"> </w:t>
      </w:r>
      <w:r w:rsidRPr="00E910FE" w:rsidR="00E910FE">
        <w:rPr>
          <w:rFonts w:ascii="Verdana" w:hAnsi="Verdana"/>
          <w:bCs/>
          <w:sz w:val="18"/>
          <w:szCs w:val="18"/>
        </w:rPr>
        <w:t>de high-end kennisontwikkeling die</w:t>
      </w:r>
      <w:r w:rsidR="00E910FE">
        <w:rPr>
          <w:rFonts w:ascii="Verdana" w:hAnsi="Verdana"/>
          <w:bCs/>
          <w:sz w:val="18"/>
          <w:szCs w:val="18"/>
        </w:rPr>
        <w:t xml:space="preserve"> </w:t>
      </w:r>
      <w:r w:rsidRPr="00E910FE" w:rsidR="00E910FE">
        <w:rPr>
          <w:rFonts w:ascii="Verdana" w:hAnsi="Verdana"/>
          <w:bCs/>
          <w:sz w:val="18"/>
          <w:szCs w:val="18"/>
        </w:rPr>
        <w:t>nodig is om innovatieve productontwikkeling tot stand te brengen.</w:t>
      </w:r>
    </w:p>
    <w:p w:rsidR="00213FCF" w:rsidP="00E910FE" w:rsidRDefault="00213FCF" w14:paraId="396F2FAE" w14:textId="77777777">
      <w:pPr>
        <w:spacing w:line="360" w:lineRule="auto"/>
        <w:rPr>
          <w:rFonts w:ascii="Verdana" w:hAnsi="Verdana"/>
          <w:bCs/>
          <w:sz w:val="18"/>
          <w:szCs w:val="18"/>
        </w:rPr>
      </w:pPr>
    </w:p>
    <w:p w:rsidR="00213FCF" w:rsidP="00E910FE" w:rsidRDefault="00213FCF" w14:paraId="7984E96B" w14:textId="77777777">
      <w:pPr>
        <w:spacing w:line="360" w:lineRule="auto"/>
        <w:rPr>
          <w:rFonts w:ascii="Verdana" w:hAnsi="Verdana"/>
          <w:bCs/>
          <w:sz w:val="18"/>
          <w:szCs w:val="18"/>
        </w:rPr>
      </w:pPr>
      <w:r w:rsidRPr="00213FCF">
        <w:rPr>
          <w:rFonts w:ascii="Verdana" w:hAnsi="Verdana"/>
          <w:bCs/>
          <w:sz w:val="18"/>
          <w:szCs w:val="18"/>
        </w:rPr>
        <w:t>Voor een volledig en betrouwbaar overzicht van het aanbod aan post</w:t>
      </w:r>
      <w:r w:rsidR="00C876BE">
        <w:rPr>
          <w:rFonts w:ascii="Verdana" w:hAnsi="Verdana"/>
          <w:bCs/>
          <w:sz w:val="18"/>
          <w:szCs w:val="18"/>
        </w:rPr>
        <w:t>-</w:t>
      </w:r>
      <w:r w:rsidRPr="00213FCF">
        <w:rPr>
          <w:rFonts w:ascii="Verdana" w:hAnsi="Verdana"/>
          <w:bCs/>
          <w:sz w:val="18"/>
          <w:szCs w:val="18"/>
        </w:rPr>
        <w:t>initiële opleidingen, zowel door publiek bekostigde als private onderwijsinstellingen, heeft het kabinet Leeroverzicht.nl ontwikkeld, een scholingsplatform voor bij- en omscholing. Mogelijke financiering voor deze opleidingen is eveneens te vinden op dit web</w:t>
      </w:r>
      <w:r w:rsidR="00C876BE">
        <w:rPr>
          <w:rFonts w:ascii="Verdana" w:hAnsi="Verdana"/>
          <w:bCs/>
          <w:sz w:val="18"/>
          <w:szCs w:val="18"/>
        </w:rPr>
        <w:t>-</w:t>
      </w:r>
      <w:r w:rsidRPr="00213FCF">
        <w:rPr>
          <w:rFonts w:ascii="Verdana" w:hAnsi="Verdana"/>
          <w:bCs/>
          <w:sz w:val="18"/>
          <w:szCs w:val="18"/>
        </w:rPr>
        <w:t>portaal. Leeroverzicht wordt doorontwikkeld naar Leeroverzicht met skills, als partnerprogramma van het programma Vaardig met Vaardigheden.</w:t>
      </w:r>
    </w:p>
    <w:p w:rsidR="00D4223F" w:rsidP="00E910FE" w:rsidRDefault="00D4223F" w14:paraId="7AFBAB73" w14:textId="77777777">
      <w:pPr>
        <w:spacing w:line="360" w:lineRule="auto"/>
        <w:rPr>
          <w:rFonts w:ascii="Verdana" w:hAnsi="Verdana"/>
          <w:bCs/>
          <w:sz w:val="18"/>
          <w:szCs w:val="18"/>
        </w:rPr>
      </w:pPr>
    </w:p>
    <w:p w:rsidRPr="00D4223F" w:rsidR="00D4223F" w:rsidP="00E910FE" w:rsidRDefault="00D4223F" w14:paraId="23ED451A" w14:textId="77777777">
      <w:pPr>
        <w:spacing w:line="360" w:lineRule="auto"/>
        <w:rPr>
          <w:rFonts w:ascii="Verdana" w:hAnsi="Verdana"/>
          <w:sz w:val="18"/>
          <w:szCs w:val="18"/>
        </w:rPr>
      </w:pPr>
      <w:r w:rsidRPr="00B04745">
        <w:rPr>
          <w:rFonts w:ascii="Verdana" w:hAnsi="Verdana"/>
          <w:sz w:val="18"/>
          <w:szCs w:val="18"/>
        </w:rPr>
        <w:t>Naast acties en samenwerking op nationaal niveau, wordt in de NLCS benadrukt dat internationale samenwerking in EU- en NAVO-verband en daarbuiten essentieel is gezien het grensoverschrijdende karakter van cyberdreigingen. Het kabinet zet zich daarom actief in bij de verschillende Europese gremia</w:t>
      </w:r>
      <w:r w:rsidRPr="00B04745">
        <w:rPr>
          <w:rStyle w:val="Voetnootmarkering"/>
          <w:rFonts w:ascii="Verdana" w:hAnsi="Verdana"/>
          <w:sz w:val="18"/>
          <w:szCs w:val="18"/>
        </w:rPr>
        <w:footnoteReference w:id="11"/>
      </w:r>
      <w:r w:rsidRPr="00B04745">
        <w:rPr>
          <w:rFonts w:ascii="Verdana" w:hAnsi="Verdana"/>
          <w:sz w:val="18"/>
          <w:szCs w:val="18"/>
        </w:rPr>
        <w:t xml:space="preserve"> en samenwerkingsverbanden die tot doel hebben de digitale weerbaarheid in de EU te vergroten.</w:t>
      </w:r>
    </w:p>
    <w:p w:rsidRPr="00FD0CBD" w:rsidR="003B0797" w:rsidP="003B0797" w:rsidRDefault="003B0797" w14:paraId="6080C6B1" w14:textId="77777777">
      <w:pPr>
        <w:spacing w:line="360" w:lineRule="auto"/>
        <w:rPr>
          <w:rFonts w:ascii="Verdana" w:hAnsi="Verdana"/>
          <w:i/>
          <w:sz w:val="18"/>
          <w:szCs w:val="18"/>
        </w:rPr>
      </w:pPr>
    </w:p>
    <w:p w:rsidR="00FD0CBD" w:rsidP="00FD0CBD" w:rsidRDefault="00FD0CBD" w14:paraId="475362BF" w14:textId="77777777">
      <w:pPr>
        <w:numPr>
          <w:ilvl w:val="0"/>
          <w:numId w:val="21"/>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591A05" w:rsidP="00C7271A" w:rsidRDefault="008250CD" w14:paraId="6500092F" w14:textId="77777777">
      <w:pPr>
        <w:spacing w:line="360" w:lineRule="auto"/>
        <w:rPr>
          <w:rFonts w:ascii="Verdana" w:hAnsi="Verdana"/>
          <w:iCs/>
          <w:sz w:val="18"/>
          <w:szCs w:val="18"/>
        </w:rPr>
      </w:pPr>
      <w:r>
        <w:rPr>
          <w:rFonts w:ascii="Verdana" w:hAnsi="Verdana"/>
          <w:iCs/>
          <w:sz w:val="18"/>
          <w:szCs w:val="18"/>
        </w:rPr>
        <w:t>Het kabinet</w:t>
      </w:r>
      <w:r w:rsidR="00BB1B9A">
        <w:rPr>
          <w:rFonts w:ascii="Verdana" w:hAnsi="Verdana"/>
          <w:iCs/>
          <w:sz w:val="18"/>
          <w:szCs w:val="18"/>
        </w:rPr>
        <w:t xml:space="preserve"> onderschrijft</w:t>
      </w:r>
      <w:r w:rsidR="00641C9F">
        <w:rPr>
          <w:rFonts w:ascii="Verdana" w:hAnsi="Verdana"/>
          <w:iCs/>
          <w:sz w:val="18"/>
          <w:szCs w:val="18"/>
        </w:rPr>
        <w:t xml:space="preserve"> </w:t>
      </w:r>
      <w:r w:rsidR="00BB1B9A">
        <w:rPr>
          <w:rFonts w:ascii="Verdana" w:hAnsi="Verdana"/>
          <w:iCs/>
          <w:sz w:val="18"/>
          <w:szCs w:val="18"/>
        </w:rPr>
        <w:t xml:space="preserve">de doelstelling van het voorstel om het </w:t>
      </w:r>
      <w:r w:rsidR="00BB1B9A">
        <w:rPr>
          <w:rFonts w:ascii="Verdana" w:hAnsi="Verdana"/>
          <w:bCs/>
          <w:sz w:val="18"/>
          <w:szCs w:val="18"/>
        </w:rPr>
        <w:t xml:space="preserve">tekort aan gekwalificeerde cybersecurityprofessionals op de Europese arbeidsmarkt </w:t>
      </w:r>
      <w:r w:rsidR="00834601">
        <w:rPr>
          <w:rFonts w:ascii="Verdana" w:hAnsi="Verdana"/>
          <w:bCs/>
          <w:sz w:val="18"/>
          <w:szCs w:val="18"/>
        </w:rPr>
        <w:t xml:space="preserve">te </w:t>
      </w:r>
      <w:r w:rsidR="00BB1B9A">
        <w:rPr>
          <w:rFonts w:ascii="Verdana" w:hAnsi="Verdana"/>
          <w:bCs/>
          <w:sz w:val="18"/>
          <w:szCs w:val="18"/>
        </w:rPr>
        <w:t xml:space="preserve">verkleinen. </w:t>
      </w:r>
      <w:r w:rsidR="00641C9F">
        <w:rPr>
          <w:rFonts w:ascii="Verdana" w:hAnsi="Verdana"/>
          <w:bCs/>
          <w:sz w:val="18"/>
          <w:szCs w:val="18"/>
        </w:rPr>
        <w:t xml:space="preserve">Dit is in lijn met de NLCS. </w:t>
      </w:r>
      <w:r w:rsidR="00BB1B9A">
        <w:rPr>
          <w:rFonts w:ascii="Verdana" w:hAnsi="Verdana"/>
          <w:bCs/>
          <w:sz w:val="18"/>
          <w:szCs w:val="18"/>
        </w:rPr>
        <w:t xml:space="preserve">Daarom </w:t>
      </w:r>
      <w:r>
        <w:rPr>
          <w:rFonts w:ascii="Verdana" w:hAnsi="Verdana"/>
          <w:iCs/>
          <w:sz w:val="18"/>
          <w:szCs w:val="18"/>
        </w:rPr>
        <w:t>staat</w:t>
      </w:r>
      <w:r w:rsidR="00BB1B9A">
        <w:rPr>
          <w:rFonts w:ascii="Verdana" w:hAnsi="Verdana"/>
          <w:iCs/>
          <w:sz w:val="18"/>
          <w:szCs w:val="18"/>
        </w:rPr>
        <w:t xml:space="preserve"> het kabinet in beginsel</w:t>
      </w:r>
      <w:r w:rsidR="00591A05">
        <w:rPr>
          <w:rFonts w:ascii="Verdana" w:hAnsi="Verdana"/>
          <w:iCs/>
          <w:sz w:val="18"/>
          <w:szCs w:val="18"/>
        </w:rPr>
        <w:t xml:space="preserve"> positief tegenover de </w:t>
      </w:r>
      <w:r w:rsidR="00CF08A7">
        <w:rPr>
          <w:rFonts w:ascii="Verdana" w:hAnsi="Verdana"/>
          <w:iCs/>
          <w:sz w:val="18"/>
          <w:szCs w:val="18"/>
        </w:rPr>
        <w:t>voorgestelde</w:t>
      </w:r>
      <w:r w:rsidR="00591A05">
        <w:rPr>
          <w:rFonts w:ascii="Verdana" w:hAnsi="Verdana"/>
          <w:iCs/>
          <w:sz w:val="18"/>
          <w:szCs w:val="18"/>
        </w:rPr>
        <w:t xml:space="preserve"> </w:t>
      </w:r>
      <w:r w:rsidRPr="00591A05" w:rsidR="00591A05">
        <w:rPr>
          <w:rFonts w:ascii="Verdana" w:hAnsi="Verdana"/>
          <w:i/>
          <w:sz w:val="18"/>
          <w:szCs w:val="18"/>
        </w:rPr>
        <w:t>Cybersecurity Skills Academy</w:t>
      </w:r>
      <w:r w:rsidR="00455BF2">
        <w:rPr>
          <w:rFonts w:ascii="Verdana" w:hAnsi="Verdana"/>
          <w:iCs/>
          <w:sz w:val="18"/>
          <w:szCs w:val="18"/>
        </w:rPr>
        <w:t xml:space="preserve">. Het kabinet herkent de problematiek met betrekking tot het cybersecurity </w:t>
      </w:r>
      <w:r w:rsidR="00455BF2">
        <w:rPr>
          <w:rFonts w:ascii="Verdana" w:hAnsi="Verdana"/>
          <w:iCs/>
          <w:sz w:val="18"/>
          <w:szCs w:val="18"/>
        </w:rPr>
        <w:lastRenderedPageBreak/>
        <w:t xml:space="preserve">arbeidsmarkttekort zoals geschetst door de Commissie. </w:t>
      </w:r>
      <w:r w:rsidRPr="00455BF2" w:rsidR="00455BF2">
        <w:rPr>
          <w:rFonts w:ascii="Verdana" w:hAnsi="Verdana"/>
          <w:iCs/>
          <w:sz w:val="18"/>
          <w:szCs w:val="18"/>
        </w:rPr>
        <w:t>Verschillende onderzoeken wijzen uit dat het tekort aan voldoende gekwalificeerd</w:t>
      </w:r>
      <w:r w:rsidR="003A5C75">
        <w:rPr>
          <w:rFonts w:ascii="Verdana" w:hAnsi="Verdana"/>
          <w:iCs/>
          <w:sz w:val="18"/>
          <w:szCs w:val="18"/>
        </w:rPr>
        <w:t>e</w:t>
      </w:r>
      <w:r w:rsidRPr="00455BF2" w:rsidR="00455BF2">
        <w:rPr>
          <w:rFonts w:ascii="Verdana" w:hAnsi="Verdana"/>
          <w:iCs/>
          <w:sz w:val="18"/>
          <w:szCs w:val="18"/>
        </w:rPr>
        <w:t xml:space="preserve"> cybersecurity </w:t>
      </w:r>
      <w:r w:rsidR="003A5C75">
        <w:rPr>
          <w:rFonts w:ascii="Verdana" w:hAnsi="Verdana"/>
          <w:iCs/>
          <w:sz w:val="18"/>
          <w:szCs w:val="18"/>
        </w:rPr>
        <w:t>professionals</w:t>
      </w:r>
      <w:r w:rsidRPr="00455BF2" w:rsidR="00455BF2">
        <w:rPr>
          <w:rFonts w:ascii="Verdana" w:hAnsi="Verdana"/>
          <w:iCs/>
          <w:sz w:val="18"/>
          <w:szCs w:val="18"/>
        </w:rPr>
        <w:t xml:space="preserve"> het (veilig) verzilveren van de kansen van digitalisering in de weg staat.</w:t>
      </w:r>
      <w:r w:rsidR="00455BF2">
        <w:rPr>
          <w:rFonts w:ascii="Verdana" w:hAnsi="Verdana"/>
          <w:iCs/>
          <w:sz w:val="18"/>
          <w:szCs w:val="18"/>
        </w:rPr>
        <w:t xml:space="preserve"> </w:t>
      </w:r>
      <w:r w:rsidR="007D6330">
        <w:rPr>
          <w:rFonts w:ascii="Verdana" w:hAnsi="Verdana"/>
          <w:iCs/>
          <w:sz w:val="18"/>
          <w:szCs w:val="18"/>
        </w:rPr>
        <w:t xml:space="preserve">Door een toename in digitale dreigingen en strengere eisen aan digitale veiligheid op nationaal en Europees niveau zal </w:t>
      </w:r>
      <w:r w:rsidR="00455BF2">
        <w:rPr>
          <w:rFonts w:ascii="Verdana" w:hAnsi="Verdana"/>
          <w:iCs/>
          <w:sz w:val="18"/>
          <w:szCs w:val="18"/>
        </w:rPr>
        <w:t xml:space="preserve">het tekort </w:t>
      </w:r>
      <w:r w:rsidR="007D6330">
        <w:rPr>
          <w:rFonts w:ascii="Verdana" w:hAnsi="Verdana"/>
          <w:iCs/>
          <w:sz w:val="18"/>
          <w:szCs w:val="18"/>
        </w:rPr>
        <w:t xml:space="preserve">naar verwachting </w:t>
      </w:r>
      <w:r w:rsidR="00455BF2">
        <w:rPr>
          <w:rFonts w:ascii="Verdana" w:hAnsi="Verdana"/>
          <w:iCs/>
          <w:sz w:val="18"/>
          <w:szCs w:val="18"/>
        </w:rPr>
        <w:t xml:space="preserve">de aankomende jaren verder toenemen. Tegelijkertijd neemt het gebruik en de afhankelijkheid van cybersecurityproducten en </w:t>
      </w:r>
      <w:r>
        <w:rPr>
          <w:rFonts w:ascii="Verdana" w:hAnsi="Verdana"/>
          <w:iCs/>
          <w:sz w:val="18"/>
          <w:szCs w:val="18"/>
        </w:rPr>
        <w:t>-</w:t>
      </w:r>
      <w:r w:rsidR="00455BF2">
        <w:rPr>
          <w:rFonts w:ascii="Verdana" w:hAnsi="Verdana"/>
          <w:iCs/>
          <w:sz w:val="18"/>
          <w:szCs w:val="18"/>
        </w:rPr>
        <w:t xml:space="preserve">diensten ook toe. Het </w:t>
      </w:r>
      <w:r>
        <w:rPr>
          <w:rFonts w:ascii="Verdana" w:hAnsi="Verdana"/>
          <w:iCs/>
          <w:sz w:val="18"/>
          <w:szCs w:val="18"/>
        </w:rPr>
        <w:t>kabinet vindt het positief</w:t>
      </w:r>
      <w:r w:rsidR="00455BF2">
        <w:rPr>
          <w:rFonts w:ascii="Verdana" w:hAnsi="Verdana"/>
          <w:iCs/>
          <w:sz w:val="18"/>
          <w:szCs w:val="18"/>
        </w:rPr>
        <w:t xml:space="preserve"> dat er gekeken wordt naar de rol die de Commissie kan spelen bij het mitigeren van de problematiek die hierdoor ontstaat</w:t>
      </w:r>
      <w:r w:rsidR="00CC7329">
        <w:rPr>
          <w:rFonts w:ascii="Verdana" w:hAnsi="Verdana"/>
          <w:iCs/>
          <w:sz w:val="18"/>
          <w:szCs w:val="18"/>
        </w:rPr>
        <w:t>, manieren om publiek ingrijpen meetbaar te maken en ontwikkelingen op de arbeidsmarkt te monitoren</w:t>
      </w:r>
      <w:r w:rsidR="00455BF2">
        <w:rPr>
          <w:rFonts w:ascii="Verdana" w:hAnsi="Verdana"/>
          <w:iCs/>
          <w:sz w:val="18"/>
          <w:szCs w:val="18"/>
        </w:rPr>
        <w:t xml:space="preserve">. </w:t>
      </w:r>
      <w:r w:rsidR="007D6330">
        <w:rPr>
          <w:rFonts w:ascii="Verdana" w:hAnsi="Verdana"/>
          <w:iCs/>
          <w:sz w:val="18"/>
          <w:szCs w:val="18"/>
        </w:rPr>
        <w:t>Beter inzicht in beschikbare opleiding</w:t>
      </w:r>
      <w:r w:rsidR="008E3AA2">
        <w:rPr>
          <w:rFonts w:ascii="Verdana" w:hAnsi="Verdana"/>
          <w:iCs/>
          <w:sz w:val="18"/>
          <w:szCs w:val="18"/>
        </w:rPr>
        <w:t>s</w:t>
      </w:r>
      <w:r w:rsidR="007D6330">
        <w:rPr>
          <w:rFonts w:ascii="Verdana" w:hAnsi="Verdana"/>
          <w:iCs/>
          <w:sz w:val="18"/>
          <w:szCs w:val="18"/>
        </w:rPr>
        <w:t xml:space="preserve">- en trainingsmogelijkheden, alsmede de financiering die vanuit de EU beschikbaar is voor dergelijke initiatieven, kan een waardevolle bijdrage leveren aan een toename in het aantal Europese cybersecurityprofessionals. </w:t>
      </w:r>
      <w:r w:rsidRPr="001330A3" w:rsidR="001330A3">
        <w:rPr>
          <w:rFonts w:ascii="Verdana" w:hAnsi="Verdana"/>
          <w:iCs/>
          <w:sz w:val="18"/>
          <w:szCs w:val="18"/>
        </w:rPr>
        <w:t>Het kabinet zal in de beoordeling van (de verdere uitwerking en implementatie van) de verschillende elementen uit d</w:t>
      </w:r>
      <w:r w:rsidR="001330A3">
        <w:rPr>
          <w:rFonts w:ascii="Verdana" w:hAnsi="Verdana"/>
          <w:iCs/>
          <w:sz w:val="18"/>
          <w:szCs w:val="18"/>
        </w:rPr>
        <w:t xml:space="preserve">eze mededeling </w:t>
      </w:r>
      <w:r w:rsidRPr="001330A3" w:rsidR="001330A3">
        <w:rPr>
          <w:rFonts w:ascii="Verdana" w:hAnsi="Verdana"/>
          <w:iCs/>
          <w:sz w:val="18"/>
          <w:szCs w:val="18"/>
        </w:rPr>
        <w:t>telkens goed kijken naar hoe, wanneer en door wie deze doelstellingen het beste kunnen worden bereikt. Dit ook met het oog op de vele initiatieven en wetgeving op het gebied van cybersecurity die recentelijk door de Commissie zijn geïnitieerd. In deze context zal het kabinet bovendien oog houden voor de belasting van (nationale) partijen die de implementatie van (nieuwe) EU-initiatieven en wetgeving met zich meebrengt.</w:t>
      </w:r>
      <w:r w:rsidR="001330A3">
        <w:rPr>
          <w:rFonts w:ascii="Verdana" w:hAnsi="Verdana"/>
          <w:iCs/>
          <w:sz w:val="18"/>
          <w:szCs w:val="18"/>
        </w:rPr>
        <w:t xml:space="preserve"> Daarnaast</w:t>
      </w:r>
      <w:r>
        <w:rPr>
          <w:rFonts w:ascii="Verdana" w:hAnsi="Verdana"/>
          <w:iCs/>
          <w:sz w:val="18"/>
          <w:szCs w:val="18"/>
        </w:rPr>
        <w:t xml:space="preserve"> heeft het kabinet een aantal </w:t>
      </w:r>
      <w:r w:rsidR="001330A3">
        <w:rPr>
          <w:rFonts w:ascii="Verdana" w:hAnsi="Verdana"/>
          <w:iCs/>
          <w:sz w:val="18"/>
          <w:szCs w:val="18"/>
        </w:rPr>
        <w:t xml:space="preserve">specifieke </w:t>
      </w:r>
      <w:r w:rsidR="0059549E">
        <w:rPr>
          <w:rFonts w:ascii="Verdana" w:hAnsi="Verdana"/>
          <w:iCs/>
          <w:sz w:val="18"/>
          <w:szCs w:val="18"/>
        </w:rPr>
        <w:t xml:space="preserve">punten </w:t>
      </w:r>
      <w:r>
        <w:rPr>
          <w:rFonts w:ascii="Verdana" w:hAnsi="Verdana"/>
          <w:iCs/>
          <w:sz w:val="18"/>
          <w:szCs w:val="18"/>
        </w:rPr>
        <w:t>bij de mededeling</w:t>
      </w:r>
      <w:r w:rsidR="0059549E">
        <w:rPr>
          <w:rFonts w:ascii="Verdana" w:hAnsi="Verdana"/>
          <w:iCs/>
          <w:sz w:val="18"/>
          <w:szCs w:val="18"/>
        </w:rPr>
        <w:t xml:space="preserve"> waar het specifiek oog voor heeft</w:t>
      </w:r>
      <w:r>
        <w:rPr>
          <w:rFonts w:ascii="Verdana" w:hAnsi="Verdana"/>
          <w:iCs/>
          <w:sz w:val="18"/>
          <w:szCs w:val="18"/>
        </w:rPr>
        <w:t>.</w:t>
      </w:r>
    </w:p>
    <w:p w:rsidR="005E107C" w:rsidP="00C7271A" w:rsidRDefault="005E107C" w14:paraId="4D6D3B12" w14:textId="77777777">
      <w:pPr>
        <w:spacing w:line="360" w:lineRule="auto"/>
        <w:rPr>
          <w:rFonts w:ascii="Verdana" w:hAnsi="Verdana"/>
          <w:iCs/>
          <w:sz w:val="18"/>
          <w:szCs w:val="18"/>
        </w:rPr>
      </w:pPr>
    </w:p>
    <w:p w:rsidR="00EA531E" w:rsidP="00C7271A" w:rsidRDefault="00422D52" w14:paraId="72800A10" w14:textId="77777777">
      <w:pPr>
        <w:spacing w:line="360" w:lineRule="auto"/>
        <w:rPr>
          <w:rFonts w:ascii="Verdana" w:hAnsi="Verdana"/>
          <w:iCs/>
          <w:sz w:val="18"/>
          <w:szCs w:val="18"/>
        </w:rPr>
      </w:pPr>
      <w:r>
        <w:rPr>
          <w:rFonts w:ascii="Verdana" w:hAnsi="Verdana"/>
          <w:iCs/>
          <w:sz w:val="18"/>
          <w:szCs w:val="18"/>
        </w:rPr>
        <w:t>In de mededeling wordt een aantal taken belegd bij z</w:t>
      </w:r>
      <w:r w:rsidR="006A51AB">
        <w:rPr>
          <w:rFonts w:ascii="Verdana" w:hAnsi="Verdana"/>
          <w:iCs/>
          <w:sz w:val="18"/>
          <w:szCs w:val="18"/>
        </w:rPr>
        <w:t>owel ENISA als het ECC</w:t>
      </w:r>
      <w:r>
        <w:rPr>
          <w:rFonts w:ascii="Verdana" w:hAnsi="Verdana"/>
          <w:iCs/>
          <w:sz w:val="18"/>
          <w:szCs w:val="18"/>
        </w:rPr>
        <w:t xml:space="preserve">C. Het kabinet heeft vragen over de </w:t>
      </w:r>
      <w:r w:rsidR="006A51AB">
        <w:rPr>
          <w:rFonts w:ascii="Verdana" w:hAnsi="Verdana"/>
          <w:iCs/>
          <w:sz w:val="18"/>
          <w:szCs w:val="18"/>
        </w:rPr>
        <w:t xml:space="preserve">manier </w:t>
      </w:r>
      <w:r>
        <w:rPr>
          <w:rFonts w:ascii="Verdana" w:hAnsi="Verdana"/>
          <w:iCs/>
          <w:sz w:val="18"/>
          <w:szCs w:val="18"/>
        </w:rPr>
        <w:t xml:space="preserve">waarop </w:t>
      </w:r>
      <w:r w:rsidR="006A51AB">
        <w:rPr>
          <w:rFonts w:ascii="Verdana" w:hAnsi="Verdana"/>
          <w:iCs/>
          <w:sz w:val="18"/>
          <w:szCs w:val="18"/>
        </w:rPr>
        <w:t xml:space="preserve">deze organisaties zich ten opzichte van elkaar zullen gaan verhouden. </w:t>
      </w:r>
      <w:r w:rsidR="00BE3359">
        <w:rPr>
          <w:rFonts w:ascii="Verdana" w:hAnsi="Verdana"/>
          <w:iCs/>
          <w:sz w:val="18"/>
          <w:szCs w:val="18"/>
        </w:rPr>
        <w:t xml:space="preserve">Het is belangrijk om meer duidelijkheid te krijgen over welke organisaties verantwoordelijk zijn voor de verdeling en implementatie van middelen voor cybersecurityonderwijs en </w:t>
      </w:r>
      <w:r w:rsidR="008250CD">
        <w:rPr>
          <w:rFonts w:ascii="Verdana" w:hAnsi="Verdana"/>
          <w:iCs/>
          <w:sz w:val="18"/>
          <w:szCs w:val="18"/>
        </w:rPr>
        <w:t>-</w:t>
      </w:r>
      <w:r w:rsidR="00BE3359">
        <w:rPr>
          <w:rFonts w:ascii="Verdana" w:hAnsi="Verdana"/>
          <w:iCs/>
          <w:sz w:val="18"/>
          <w:szCs w:val="18"/>
        </w:rPr>
        <w:t xml:space="preserve">trainingen. </w:t>
      </w:r>
    </w:p>
    <w:p w:rsidR="00EA531E" w:rsidP="00C7271A" w:rsidRDefault="00EA531E" w14:paraId="350EF090" w14:textId="77777777">
      <w:pPr>
        <w:spacing w:line="360" w:lineRule="auto"/>
        <w:rPr>
          <w:rFonts w:ascii="Verdana" w:hAnsi="Verdana"/>
          <w:iCs/>
          <w:sz w:val="18"/>
          <w:szCs w:val="18"/>
        </w:rPr>
      </w:pPr>
    </w:p>
    <w:p w:rsidR="001B5287" w:rsidP="00C7271A" w:rsidRDefault="00BE3359" w14:paraId="192F9BC2" w14:textId="77777777">
      <w:pPr>
        <w:spacing w:line="360" w:lineRule="auto"/>
        <w:rPr>
          <w:rFonts w:ascii="Verdana" w:hAnsi="Verdana"/>
          <w:iCs/>
          <w:sz w:val="18"/>
          <w:szCs w:val="18"/>
        </w:rPr>
      </w:pPr>
      <w:r>
        <w:rPr>
          <w:rFonts w:ascii="Verdana" w:hAnsi="Verdana"/>
          <w:iCs/>
          <w:sz w:val="18"/>
          <w:szCs w:val="18"/>
        </w:rPr>
        <w:t xml:space="preserve">In het verlengde daarvan </w:t>
      </w:r>
      <w:r w:rsidR="00EA531E">
        <w:rPr>
          <w:rFonts w:ascii="Verdana" w:hAnsi="Verdana"/>
          <w:iCs/>
          <w:sz w:val="18"/>
          <w:szCs w:val="18"/>
        </w:rPr>
        <w:t>ontvangt het kabinet graag verduidelijking over hoe</w:t>
      </w:r>
      <w:r>
        <w:rPr>
          <w:rFonts w:ascii="Verdana" w:hAnsi="Verdana"/>
          <w:iCs/>
          <w:sz w:val="18"/>
          <w:szCs w:val="18"/>
        </w:rPr>
        <w:t xml:space="preserve"> het recentelijk opgerichte ECCC, de veelal nog niet volledig operationele Nationale Coördinatie Centra (NCC’s) en ENISA, de extra taken die de Academie met zich meebrengt </w:t>
      </w:r>
      <w:r w:rsidR="00CF08A7">
        <w:rPr>
          <w:rFonts w:ascii="Verdana" w:hAnsi="Verdana"/>
          <w:iCs/>
          <w:sz w:val="18"/>
          <w:szCs w:val="18"/>
        </w:rPr>
        <w:t xml:space="preserve">uit </w:t>
      </w:r>
      <w:r w:rsidR="00EA531E">
        <w:rPr>
          <w:rFonts w:ascii="Verdana" w:hAnsi="Verdana"/>
          <w:iCs/>
          <w:sz w:val="18"/>
          <w:szCs w:val="18"/>
        </w:rPr>
        <w:t>kunnen gaan</w:t>
      </w:r>
      <w:r w:rsidR="00CF08A7">
        <w:rPr>
          <w:rFonts w:ascii="Verdana" w:hAnsi="Verdana"/>
          <w:iCs/>
          <w:sz w:val="18"/>
          <w:szCs w:val="18"/>
        </w:rPr>
        <w:t xml:space="preserve"> voeren</w:t>
      </w:r>
      <w:r>
        <w:rPr>
          <w:rFonts w:ascii="Verdana" w:hAnsi="Verdana"/>
          <w:iCs/>
          <w:sz w:val="18"/>
          <w:szCs w:val="18"/>
        </w:rPr>
        <w:t xml:space="preserve">. </w:t>
      </w:r>
      <w:r w:rsidRPr="001B5287" w:rsidR="001B5287">
        <w:rPr>
          <w:rFonts w:ascii="Verdana" w:hAnsi="Verdana"/>
          <w:iCs/>
          <w:sz w:val="18"/>
          <w:szCs w:val="18"/>
        </w:rPr>
        <w:t xml:space="preserve">Hierbij speelt mee dat aan ENISA en het ECCC ook nieuwe taken toebedeeld worden in het voorstel voor </w:t>
      </w:r>
      <w:r w:rsidR="001B5287">
        <w:rPr>
          <w:rFonts w:ascii="Verdana" w:hAnsi="Verdana"/>
          <w:iCs/>
          <w:sz w:val="18"/>
          <w:szCs w:val="18"/>
        </w:rPr>
        <w:t>de</w:t>
      </w:r>
      <w:r w:rsidRPr="001B5287" w:rsidR="001B5287">
        <w:rPr>
          <w:rFonts w:ascii="Verdana" w:hAnsi="Verdana"/>
          <w:iCs/>
          <w:sz w:val="18"/>
          <w:szCs w:val="18"/>
        </w:rPr>
        <w:t xml:space="preserve"> Cybersolidariteitsverordening.</w:t>
      </w:r>
    </w:p>
    <w:p w:rsidR="001B5287" w:rsidP="00C7271A" w:rsidRDefault="001B5287" w14:paraId="527713FA" w14:textId="77777777">
      <w:pPr>
        <w:spacing w:line="360" w:lineRule="auto"/>
        <w:rPr>
          <w:rFonts w:ascii="Verdana" w:hAnsi="Verdana"/>
          <w:iCs/>
          <w:sz w:val="18"/>
          <w:szCs w:val="18"/>
        </w:rPr>
      </w:pPr>
    </w:p>
    <w:p w:rsidR="00DC6797" w:rsidP="00C7271A" w:rsidRDefault="00513465" w14:paraId="56A6BAA7" w14:textId="77777777">
      <w:pPr>
        <w:spacing w:line="360" w:lineRule="auto"/>
        <w:rPr>
          <w:rFonts w:ascii="Verdana" w:hAnsi="Verdana"/>
          <w:iCs/>
          <w:sz w:val="18"/>
          <w:szCs w:val="18"/>
        </w:rPr>
      </w:pPr>
      <w:r>
        <w:rPr>
          <w:rFonts w:ascii="Verdana" w:hAnsi="Verdana"/>
          <w:iCs/>
          <w:sz w:val="18"/>
          <w:szCs w:val="18"/>
        </w:rPr>
        <w:t xml:space="preserve">Ten slotte wordt in de mededeling </w:t>
      </w:r>
      <w:r w:rsidR="008250CD">
        <w:rPr>
          <w:rFonts w:ascii="Verdana" w:hAnsi="Verdana"/>
          <w:iCs/>
          <w:sz w:val="18"/>
          <w:szCs w:val="18"/>
        </w:rPr>
        <w:t>voorgesteld</w:t>
      </w:r>
      <w:r>
        <w:rPr>
          <w:rFonts w:ascii="Verdana" w:hAnsi="Verdana"/>
          <w:iCs/>
          <w:sz w:val="18"/>
          <w:szCs w:val="18"/>
        </w:rPr>
        <w:t xml:space="preserve"> dat de Academie de vorm aan zou kunnen nemen van een </w:t>
      </w:r>
      <w:r w:rsidR="000B2FF8">
        <w:rPr>
          <w:rFonts w:ascii="Verdana" w:hAnsi="Verdana"/>
          <w:iCs/>
          <w:sz w:val="18"/>
          <w:szCs w:val="18"/>
        </w:rPr>
        <w:t>EDIC.</w:t>
      </w:r>
      <w:r>
        <w:rPr>
          <w:rFonts w:ascii="Verdana" w:hAnsi="Verdana"/>
          <w:iCs/>
          <w:sz w:val="18"/>
          <w:szCs w:val="18"/>
        </w:rPr>
        <w:t xml:space="preserve"> </w:t>
      </w:r>
      <w:r w:rsidR="00E64BCF">
        <w:rPr>
          <w:rFonts w:ascii="Verdana" w:hAnsi="Verdana"/>
          <w:iCs/>
          <w:sz w:val="18"/>
          <w:szCs w:val="18"/>
        </w:rPr>
        <w:t xml:space="preserve">Doordat er nog weinig ervaring is met het instrument EDIC is het vooralsnog onduidelijk of dit het juiste juridische </w:t>
      </w:r>
      <w:r w:rsidR="008250CD">
        <w:rPr>
          <w:rFonts w:ascii="Verdana" w:hAnsi="Verdana"/>
          <w:iCs/>
          <w:sz w:val="18"/>
          <w:szCs w:val="18"/>
        </w:rPr>
        <w:t>raamwerk</w:t>
      </w:r>
      <w:r w:rsidR="00E64BCF">
        <w:rPr>
          <w:rFonts w:ascii="Verdana" w:hAnsi="Verdana"/>
          <w:iCs/>
          <w:sz w:val="18"/>
          <w:szCs w:val="18"/>
        </w:rPr>
        <w:t xml:space="preserve"> biedt om de Academie op in te richten. </w:t>
      </w:r>
      <w:r w:rsidRPr="00CA4436" w:rsidR="00372A30">
        <w:rPr>
          <w:rFonts w:ascii="Verdana" w:hAnsi="Verdana"/>
          <w:iCs/>
          <w:sz w:val="18"/>
          <w:szCs w:val="18"/>
        </w:rPr>
        <w:t xml:space="preserve">Een aandachtspunt voor het kabinet is de inrichting van de Academie in de vorm van  het samenwerkingsverband, EDIC, aangezien het onduidelijk is welke rol </w:t>
      </w:r>
      <w:r w:rsidR="00372A30">
        <w:rPr>
          <w:rFonts w:ascii="Verdana" w:hAnsi="Verdana"/>
          <w:iCs/>
          <w:sz w:val="18"/>
          <w:szCs w:val="18"/>
        </w:rPr>
        <w:t>de</w:t>
      </w:r>
      <w:r w:rsidRPr="00CA4436" w:rsidR="00372A30">
        <w:rPr>
          <w:rFonts w:ascii="Verdana" w:hAnsi="Verdana"/>
          <w:iCs/>
          <w:sz w:val="18"/>
          <w:szCs w:val="18"/>
        </w:rPr>
        <w:t xml:space="preserve"> EDIC en </w:t>
      </w:r>
      <w:r w:rsidR="00372A30">
        <w:rPr>
          <w:rFonts w:ascii="Verdana" w:hAnsi="Verdana"/>
          <w:iCs/>
          <w:sz w:val="18"/>
          <w:szCs w:val="18"/>
        </w:rPr>
        <w:t xml:space="preserve">de </w:t>
      </w:r>
      <w:r w:rsidRPr="00CA4436" w:rsidR="00372A30">
        <w:rPr>
          <w:rFonts w:ascii="Verdana" w:hAnsi="Verdana"/>
          <w:iCs/>
          <w:sz w:val="18"/>
          <w:szCs w:val="18"/>
        </w:rPr>
        <w:t>lidstaten zelf zullen spelen bij de uitwerking van de maatregelen. Het kabinet acht het van belang dat dit met volledige eerbiediging van de verantwoordelijkheid van de lidstaten voor de inhoud en de opzet van het onderwijs en de beroepsopleiding zal gebeuren. Het kabinet acht het van belang dat de lidstaten zeggenschap hebben over de verdere inrichting van het EDIC en zal zich daarvoor inzetten.</w:t>
      </w:r>
      <w:r w:rsidR="00372A30">
        <w:rPr>
          <w:rFonts w:ascii="Verdana" w:hAnsi="Verdana"/>
          <w:iCs/>
          <w:sz w:val="18"/>
          <w:szCs w:val="18"/>
        </w:rPr>
        <w:t xml:space="preserve"> </w:t>
      </w:r>
      <w:r w:rsidR="00E64BCF">
        <w:rPr>
          <w:rFonts w:ascii="Verdana" w:hAnsi="Verdana"/>
          <w:iCs/>
          <w:sz w:val="18"/>
          <w:szCs w:val="18"/>
        </w:rPr>
        <w:t xml:space="preserve">Tegelijkertijd wordt door de inzet van dit instrument een beroep gedaan op actie vanuit de </w:t>
      </w:r>
      <w:r w:rsidR="007B55EC">
        <w:rPr>
          <w:rFonts w:ascii="Verdana" w:hAnsi="Verdana"/>
          <w:iCs/>
          <w:sz w:val="18"/>
          <w:szCs w:val="18"/>
        </w:rPr>
        <w:t>l</w:t>
      </w:r>
      <w:r w:rsidR="00E64BCF">
        <w:rPr>
          <w:rFonts w:ascii="Verdana" w:hAnsi="Verdana"/>
          <w:iCs/>
          <w:sz w:val="18"/>
          <w:szCs w:val="18"/>
        </w:rPr>
        <w:t xml:space="preserve">idstaten om in gezamenlijkheid de Academie op te zetten en vorm te geven. </w:t>
      </w:r>
    </w:p>
    <w:p w:rsidR="000A6F55" w:rsidP="00C7271A" w:rsidRDefault="000A6F55" w14:paraId="3D4647FF" w14:textId="30EB86FF">
      <w:pPr>
        <w:spacing w:line="360" w:lineRule="auto"/>
        <w:rPr>
          <w:rFonts w:ascii="Verdana" w:hAnsi="Verdana"/>
          <w:iCs/>
          <w:sz w:val="18"/>
          <w:szCs w:val="18"/>
        </w:rPr>
      </w:pPr>
      <w:r>
        <w:rPr>
          <w:rFonts w:ascii="Verdana" w:hAnsi="Verdana"/>
          <w:iCs/>
          <w:sz w:val="18"/>
          <w:szCs w:val="18"/>
        </w:rPr>
        <w:lastRenderedPageBreak/>
        <w:t xml:space="preserve">Door onduidelijkheid over de toepassing van EDIC’s in de praktijk, samen met gebrek aan zicht op interesse vanuit andere lidstaten, lijkt het op dit moment niet opportuun voor Nederland om een actieve rol te spelen bij de opzet van een dergelijk EDIC. </w:t>
      </w:r>
      <w:r w:rsidRPr="001B5287" w:rsidR="001B5287">
        <w:rPr>
          <w:rFonts w:ascii="Verdana" w:hAnsi="Verdana"/>
          <w:iCs/>
          <w:sz w:val="18"/>
          <w:szCs w:val="18"/>
        </w:rPr>
        <w:t xml:space="preserve">Desalniettemin onderschrijft het kabinet nadrukkelijk de doelstelling van het initiatief, en </w:t>
      </w:r>
      <w:r>
        <w:rPr>
          <w:rFonts w:ascii="Verdana" w:hAnsi="Verdana"/>
          <w:iCs/>
          <w:sz w:val="18"/>
          <w:szCs w:val="18"/>
        </w:rPr>
        <w:t>kan op EU-niveau verken</w:t>
      </w:r>
      <w:r w:rsidR="008E3AA2">
        <w:rPr>
          <w:rFonts w:ascii="Verdana" w:hAnsi="Verdana"/>
          <w:iCs/>
          <w:sz w:val="18"/>
          <w:szCs w:val="18"/>
        </w:rPr>
        <w:t>d worden</w:t>
      </w:r>
      <w:r>
        <w:rPr>
          <w:rFonts w:ascii="Verdana" w:hAnsi="Verdana"/>
          <w:iCs/>
          <w:sz w:val="18"/>
          <w:szCs w:val="18"/>
        </w:rPr>
        <w:t xml:space="preserve"> wat de mogelijkheden zijn om aan te sluiten op een consortium met andere (gelijkgestemde) lidstaten. </w:t>
      </w:r>
      <w:r w:rsidR="008E3AA2">
        <w:rPr>
          <w:rFonts w:ascii="Verdana" w:hAnsi="Verdana"/>
          <w:iCs/>
          <w:sz w:val="18"/>
          <w:szCs w:val="18"/>
        </w:rPr>
        <w:t xml:space="preserve">Vóór 30 mei kan het kabinet richting de Commissie aangeven geïnteresseerd te zijn om eventueel plaats te nemen in een consortium voor de Academie. </w:t>
      </w:r>
    </w:p>
    <w:p w:rsidR="00312E39" w:rsidP="00C7271A" w:rsidRDefault="00312E39" w14:paraId="4C44C3DF" w14:textId="77777777">
      <w:pPr>
        <w:spacing w:line="360" w:lineRule="auto"/>
        <w:rPr>
          <w:rFonts w:ascii="Verdana" w:hAnsi="Verdana"/>
          <w:iCs/>
          <w:sz w:val="18"/>
          <w:szCs w:val="18"/>
        </w:rPr>
      </w:pPr>
    </w:p>
    <w:p w:rsidR="00EC69CC" w:rsidP="00D47B40" w:rsidRDefault="00312E39" w14:paraId="051B31BC" w14:textId="77777777">
      <w:pPr>
        <w:spacing w:line="360" w:lineRule="auto"/>
        <w:rPr>
          <w:rFonts w:ascii="Verdana" w:hAnsi="Verdana"/>
          <w:iCs/>
          <w:sz w:val="18"/>
          <w:szCs w:val="18"/>
        </w:rPr>
      </w:pPr>
      <w:r>
        <w:rPr>
          <w:rFonts w:ascii="Verdana" w:hAnsi="Verdana"/>
          <w:iCs/>
          <w:sz w:val="18"/>
          <w:szCs w:val="18"/>
        </w:rPr>
        <w:t xml:space="preserve">Inhoudelijk gezien kan ook de vraag gesteld worden of het tekort op de cybersecurityarbeidsmarkt </w:t>
      </w:r>
      <w:r w:rsidR="008250CD">
        <w:rPr>
          <w:rFonts w:ascii="Verdana" w:hAnsi="Verdana"/>
          <w:iCs/>
          <w:sz w:val="18"/>
          <w:szCs w:val="18"/>
        </w:rPr>
        <w:t>verkleind</w:t>
      </w:r>
      <w:r>
        <w:rPr>
          <w:rFonts w:ascii="Verdana" w:hAnsi="Verdana"/>
          <w:iCs/>
          <w:sz w:val="18"/>
          <w:szCs w:val="18"/>
        </w:rPr>
        <w:t xml:space="preserve"> kan worden door meer (inzicht in) opleidingen en trainingen. Mogelijk gaan hier andere disruptieve factoren aan vooraf. </w:t>
      </w:r>
      <w:r w:rsidRPr="00C7271A">
        <w:rPr>
          <w:rFonts w:ascii="Verdana" w:hAnsi="Verdana"/>
          <w:iCs/>
          <w:sz w:val="18"/>
          <w:szCs w:val="18"/>
        </w:rPr>
        <w:t xml:space="preserve">Zo is bijvoorbeeld certificering momenteel gericht op het borgen van kwaliteit bij cybersecurityprofessionals, en niet op het doen toenemen van het aanbod. </w:t>
      </w:r>
      <w:r w:rsidR="001F0C62">
        <w:rPr>
          <w:rFonts w:ascii="Verdana" w:hAnsi="Verdana"/>
          <w:iCs/>
          <w:sz w:val="18"/>
          <w:szCs w:val="18"/>
        </w:rPr>
        <w:t xml:space="preserve">Dientengevolge wil het kabinet realistisch zijn over de daadwerkelijke impact die met de voorgestelde maatregel gemaakt zal worden.  </w:t>
      </w:r>
    </w:p>
    <w:p w:rsidR="002C7985" w:rsidP="00D47B40" w:rsidRDefault="002C7985" w14:paraId="7F4FA61A" w14:textId="77777777">
      <w:pPr>
        <w:spacing w:line="360" w:lineRule="auto"/>
        <w:rPr>
          <w:rFonts w:ascii="Verdana" w:hAnsi="Verdana"/>
          <w:iCs/>
          <w:sz w:val="18"/>
          <w:szCs w:val="18"/>
        </w:rPr>
      </w:pPr>
    </w:p>
    <w:p w:rsidR="002C7985" w:rsidP="00D47B40" w:rsidRDefault="002C7985" w14:paraId="2DA4251D" w14:textId="77777777">
      <w:pPr>
        <w:spacing w:line="360" w:lineRule="auto"/>
        <w:rPr>
          <w:rFonts w:ascii="Verdana" w:hAnsi="Verdana"/>
          <w:iCs/>
          <w:sz w:val="18"/>
          <w:szCs w:val="18"/>
        </w:rPr>
      </w:pPr>
      <w:r w:rsidRPr="002C7985">
        <w:rPr>
          <w:rFonts w:ascii="Verdana" w:hAnsi="Verdana"/>
          <w:iCs/>
          <w:sz w:val="18"/>
          <w:szCs w:val="18"/>
        </w:rPr>
        <w:t xml:space="preserve">Er is nog onbenut arbeidspotentieel in het aantal vrouwen op de cybersecurityarbeidsmarkt. Het kabinet verwelkomt daarom de </w:t>
      </w:r>
      <w:r w:rsidR="007365BD">
        <w:rPr>
          <w:rFonts w:ascii="Verdana" w:hAnsi="Verdana"/>
          <w:iCs/>
          <w:sz w:val="18"/>
          <w:szCs w:val="18"/>
        </w:rPr>
        <w:t>aanmoediging richting de</w:t>
      </w:r>
      <w:r w:rsidRPr="002C7985" w:rsidR="007365BD">
        <w:rPr>
          <w:rFonts w:ascii="Verdana" w:hAnsi="Verdana"/>
          <w:iCs/>
          <w:sz w:val="18"/>
          <w:szCs w:val="18"/>
        </w:rPr>
        <w:t xml:space="preserve"> </w:t>
      </w:r>
      <w:r w:rsidRPr="002C7985">
        <w:rPr>
          <w:rFonts w:ascii="Verdana" w:hAnsi="Verdana"/>
          <w:iCs/>
          <w:sz w:val="18"/>
          <w:szCs w:val="18"/>
        </w:rPr>
        <w:t xml:space="preserve">lidstaten om meer te doen om vrouwen </w:t>
      </w:r>
      <w:r w:rsidR="007365BD">
        <w:rPr>
          <w:rFonts w:ascii="Verdana" w:hAnsi="Verdana"/>
          <w:iCs/>
          <w:sz w:val="18"/>
          <w:szCs w:val="18"/>
        </w:rPr>
        <w:t xml:space="preserve">een </w:t>
      </w:r>
      <w:r w:rsidRPr="002C7985">
        <w:rPr>
          <w:rFonts w:ascii="Verdana" w:hAnsi="Verdana"/>
          <w:iCs/>
          <w:sz w:val="18"/>
          <w:szCs w:val="18"/>
        </w:rPr>
        <w:t xml:space="preserve">actieve rol te </w:t>
      </w:r>
      <w:r w:rsidR="007365BD">
        <w:rPr>
          <w:rFonts w:ascii="Verdana" w:hAnsi="Verdana"/>
          <w:iCs/>
          <w:sz w:val="18"/>
          <w:szCs w:val="18"/>
        </w:rPr>
        <w:t xml:space="preserve">laten </w:t>
      </w:r>
      <w:r w:rsidRPr="002C7985">
        <w:rPr>
          <w:rFonts w:ascii="Verdana" w:hAnsi="Verdana"/>
          <w:iCs/>
          <w:sz w:val="18"/>
          <w:szCs w:val="18"/>
        </w:rPr>
        <w:t xml:space="preserve">spelen in de digitale tech sector en de </w:t>
      </w:r>
      <w:r w:rsidRPr="00D835E0">
        <w:rPr>
          <w:rFonts w:ascii="Verdana" w:hAnsi="Verdana"/>
          <w:i/>
          <w:sz w:val="18"/>
          <w:szCs w:val="18"/>
        </w:rPr>
        <w:t>Women in Digital</w:t>
      </w:r>
      <w:r w:rsidRPr="002C7985">
        <w:rPr>
          <w:rFonts w:ascii="Verdana" w:hAnsi="Verdana"/>
          <w:iCs/>
          <w:sz w:val="18"/>
          <w:szCs w:val="18"/>
        </w:rPr>
        <w:t xml:space="preserve"> declaratie implementeren. Dit onderdeel van de mededeling sluit aan op bestaande relevante nationale initiatieven.</w:t>
      </w:r>
    </w:p>
    <w:p w:rsidR="00EC69CC" w:rsidP="00D47B40" w:rsidRDefault="00EC69CC" w14:paraId="0D309225" w14:textId="77777777">
      <w:pPr>
        <w:spacing w:line="360" w:lineRule="auto"/>
        <w:rPr>
          <w:rFonts w:ascii="Verdana" w:hAnsi="Verdana"/>
          <w:iCs/>
          <w:sz w:val="18"/>
          <w:szCs w:val="18"/>
        </w:rPr>
      </w:pPr>
    </w:p>
    <w:p w:rsidR="00D47B40" w:rsidP="00D47B40" w:rsidRDefault="00D47B40" w14:paraId="1B63494B" w14:textId="77777777">
      <w:pPr>
        <w:spacing w:line="360" w:lineRule="auto"/>
        <w:rPr>
          <w:rFonts w:ascii="Verdana" w:hAnsi="Verdana"/>
          <w:iCs/>
          <w:sz w:val="18"/>
          <w:szCs w:val="18"/>
        </w:rPr>
      </w:pPr>
      <w:r w:rsidRPr="00D47B40">
        <w:rPr>
          <w:rFonts w:ascii="Verdana" w:hAnsi="Verdana"/>
          <w:iCs/>
          <w:sz w:val="18"/>
          <w:szCs w:val="18"/>
        </w:rPr>
        <w:t>Het kabinet onderschrijft het belang van voldoende stage- en leerplekken voor lerenden in het domein van cybersecurity, maar ziet hier een</w:t>
      </w:r>
      <w:r w:rsidR="00EC69CC">
        <w:rPr>
          <w:rFonts w:ascii="Verdana" w:hAnsi="Verdana"/>
          <w:iCs/>
          <w:sz w:val="18"/>
          <w:szCs w:val="18"/>
        </w:rPr>
        <w:t xml:space="preserve"> belangrijke</w:t>
      </w:r>
      <w:r w:rsidRPr="00D47B40">
        <w:rPr>
          <w:rFonts w:ascii="Verdana" w:hAnsi="Verdana"/>
          <w:iCs/>
          <w:sz w:val="18"/>
          <w:szCs w:val="18"/>
        </w:rPr>
        <w:t xml:space="preserve"> rol voor het werkveld. Verder </w:t>
      </w:r>
      <w:r w:rsidR="00387CE2">
        <w:rPr>
          <w:rFonts w:ascii="Verdana" w:hAnsi="Verdana"/>
          <w:iCs/>
          <w:sz w:val="18"/>
          <w:szCs w:val="18"/>
        </w:rPr>
        <w:t>wil</w:t>
      </w:r>
      <w:r w:rsidRPr="00D47B40">
        <w:rPr>
          <w:rFonts w:ascii="Verdana" w:hAnsi="Verdana"/>
          <w:iCs/>
          <w:sz w:val="18"/>
          <w:szCs w:val="18"/>
        </w:rPr>
        <w:t xml:space="preserve"> het kabinet </w:t>
      </w:r>
      <w:r w:rsidR="00387CE2">
        <w:rPr>
          <w:rFonts w:ascii="Verdana" w:hAnsi="Verdana"/>
          <w:iCs/>
          <w:sz w:val="18"/>
          <w:szCs w:val="18"/>
        </w:rPr>
        <w:t>geen</w:t>
      </w:r>
      <w:r w:rsidRPr="00D47B40">
        <w:rPr>
          <w:rFonts w:ascii="Verdana" w:hAnsi="Verdana"/>
          <w:iCs/>
          <w:sz w:val="18"/>
          <w:szCs w:val="18"/>
        </w:rPr>
        <w:t xml:space="preserve"> opleidingsonderdelen </w:t>
      </w:r>
      <w:r w:rsidR="00387CE2">
        <w:rPr>
          <w:rFonts w:ascii="Verdana" w:hAnsi="Verdana"/>
          <w:iCs/>
          <w:sz w:val="18"/>
          <w:szCs w:val="18"/>
        </w:rPr>
        <w:t xml:space="preserve">opnemen </w:t>
      </w:r>
      <w:r w:rsidRPr="00D47B40">
        <w:rPr>
          <w:rFonts w:ascii="Verdana" w:hAnsi="Verdana"/>
          <w:iCs/>
          <w:sz w:val="18"/>
          <w:szCs w:val="18"/>
        </w:rPr>
        <w:t xml:space="preserve">in </w:t>
      </w:r>
      <w:r>
        <w:rPr>
          <w:rFonts w:ascii="Verdana" w:hAnsi="Verdana"/>
          <w:iCs/>
          <w:sz w:val="18"/>
          <w:szCs w:val="18"/>
        </w:rPr>
        <w:t>h</w:t>
      </w:r>
      <w:r w:rsidRPr="00D47B40">
        <w:rPr>
          <w:rFonts w:ascii="Verdana" w:hAnsi="Verdana"/>
          <w:iCs/>
          <w:sz w:val="18"/>
          <w:szCs w:val="18"/>
        </w:rPr>
        <w:t>et Nederlands kwalificatieraamwerk</w:t>
      </w:r>
      <w:r>
        <w:rPr>
          <w:rFonts w:ascii="Verdana" w:hAnsi="Verdana"/>
          <w:iCs/>
          <w:sz w:val="18"/>
          <w:szCs w:val="18"/>
        </w:rPr>
        <w:t xml:space="preserve"> (</w:t>
      </w:r>
      <w:r w:rsidRPr="00D47B40">
        <w:rPr>
          <w:rFonts w:ascii="Verdana" w:hAnsi="Verdana"/>
          <w:iCs/>
          <w:sz w:val="18"/>
          <w:szCs w:val="18"/>
        </w:rPr>
        <w:t>NLQF</w:t>
      </w:r>
      <w:r>
        <w:rPr>
          <w:rFonts w:ascii="Verdana" w:hAnsi="Verdana"/>
          <w:iCs/>
          <w:sz w:val="18"/>
          <w:szCs w:val="18"/>
        </w:rPr>
        <w:t>)</w:t>
      </w:r>
      <w:r w:rsidRPr="00D47B40">
        <w:rPr>
          <w:rFonts w:ascii="Verdana" w:hAnsi="Verdana"/>
          <w:iCs/>
          <w:sz w:val="18"/>
          <w:szCs w:val="18"/>
        </w:rPr>
        <w:t>. In de NLQF zijn</w:t>
      </w:r>
      <w:r>
        <w:rPr>
          <w:rFonts w:ascii="Verdana" w:hAnsi="Verdana"/>
          <w:iCs/>
          <w:sz w:val="18"/>
          <w:szCs w:val="18"/>
        </w:rPr>
        <w:t xml:space="preserve"> </w:t>
      </w:r>
      <w:r w:rsidRPr="00D47B40">
        <w:rPr>
          <w:rFonts w:ascii="Verdana" w:hAnsi="Verdana"/>
          <w:iCs/>
          <w:sz w:val="18"/>
          <w:szCs w:val="18"/>
        </w:rPr>
        <w:t xml:space="preserve">volledige formele beroepsopleidingen ingeschaald, onderdelen van beroepsopleidingen worden niet afzonderlijk ingeschaald in NLQF. </w:t>
      </w:r>
    </w:p>
    <w:p w:rsidR="00EC69CC" w:rsidP="00D47B40" w:rsidRDefault="00EC69CC" w14:paraId="4AFF9065" w14:textId="77777777">
      <w:pPr>
        <w:spacing w:line="360" w:lineRule="auto"/>
        <w:rPr>
          <w:rFonts w:ascii="Verdana" w:hAnsi="Verdana"/>
          <w:iCs/>
          <w:sz w:val="18"/>
          <w:szCs w:val="18"/>
        </w:rPr>
      </w:pPr>
    </w:p>
    <w:p w:rsidR="00EC69CC" w:rsidP="00D47B40" w:rsidRDefault="00EC69CC" w14:paraId="49535DD7" w14:textId="77777777">
      <w:pPr>
        <w:spacing w:line="360" w:lineRule="auto"/>
        <w:rPr>
          <w:rFonts w:ascii="Verdana" w:hAnsi="Verdana"/>
          <w:iCs/>
          <w:sz w:val="18"/>
          <w:szCs w:val="18"/>
        </w:rPr>
      </w:pPr>
      <w:r>
        <w:rPr>
          <w:rFonts w:ascii="Verdana" w:hAnsi="Verdana"/>
          <w:iCs/>
          <w:sz w:val="18"/>
          <w:szCs w:val="18"/>
        </w:rPr>
        <w:t xml:space="preserve">Het kabinet steunt in algemene zin de beweging naar </w:t>
      </w:r>
      <w:r w:rsidRPr="00487BE5" w:rsidR="00487BE5">
        <w:rPr>
          <w:rFonts w:ascii="Verdana" w:hAnsi="Verdana"/>
          <w:iCs/>
          <w:sz w:val="18"/>
          <w:szCs w:val="18"/>
        </w:rPr>
        <w:t>kortdurende scholing (bijvoorbeeld in de vorm van kleinere onderwijseenheden of micro-credentials), aangezien dit de drempel naar om- en bijscholing kan verlagen en meer keuzevrijheid aan studenten biedt.</w:t>
      </w:r>
      <w:r w:rsidR="00487BE5">
        <w:rPr>
          <w:rFonts w:ascii="Verdana" w:hAnsi="Verdana"/>
          <w:iCs/>
          <w:sz w:val="18"/>
          <w:szCs w:val="18"/>
        </w:rPr>
        <w:t xml:space="preserve"> </w:t>
      </w:r>
      <w:r w:rsidRPr="00EC69CC">
        <w:rPr>
          <w:rFonts w:ascii="Verdana" w:hAnsi="Verdana"/>
          <w:iCs/>
          <w:sz w:val="18"/>
          <w:szCs w:val="18"/>
        </w:rPr>
        <w:t xml:space="preserve">Het kabinet heeft echter geen directe zeggenschap over de </w:t>
      </w:r>
      <w:r w:rsidR="00487BE5">
        <w:rPr>
          <w:rFonts w:ascii="Verdana" w:hAnsi="Verdana"/>
          <w:iCs/>
          <w:sz w:val="18"/>
          <w:szCs w:val="18"/>
        </w:rPr>
        <w:t xml:space="preserve">inhoudelijke </w:t>
      </w:r>
      <w:r w:rsidRPr="00EC69CC">
        <w:rPr>
          <w:rFonts w:ascii="Verdana" w:hAnsi="Verdana"/>
          <w:iCs/>
          <w:sz w:val="18"/>
          <w:szCs w:val="18"/>
        </w:rPr>
        <w:t>ontwikkeling hiervan</w:t>
      </w:r>
      <w:r>
        <w:rPr>
          <w:rFonts w:ascii="Verdana" w:hAnsi="Verdana"/>
          <w:iCs/>
          <w:sz w:val="18"/>
          <w:szCs w:val="18"/>
        </w:rPr>
        <w:t>.</w:t>
      </w:r>
      <w:r w:rsidRPr="00EC69CC">
        <w:rPr>
          <w:rFonts w:ascii="Verdana" w:hAnsi="Verdana"/>
          <w:iCs/>
          <w:sz w:val="18"/>
          <w:szCs w:val="18"/>
        </w:rPr>
        <w:t xml:space="preserve"> </w:t>
      </w:r>
      <w:r>
        <w:rPr>
          <w:rFonts w:ascii="Verdana" w:hAnsi="Verdana"/>
          <w:iCs/>
          <w:sz w:val="18"/>
          <w:szCs w:val="18"/>
        </w:rPr>
        <w:t>D</w:t>
      </w:r>
      <w:r w:rsidRPr="00EC69CC">
        <w:rPr>
          <w:rFonts w:ascii="Verdana" w:hAnsi="Verdana"/>
          <w:iCs/>
          <w:sz w:val="18"/>
          <w:szCs w:val="18"/>
        </w:rPr>
        <w:t xml:space="preserve">e ontwikkeling en uitvoering </w:t>
      </w:r>
      <w:r>
        <w:rPr>
          <w:rFonts w:ascii="Verdana" w:hAnsi="Verdana"/>
          <w:iCs/>
          <w:sz w:val="18"/>
          <w:szCs w:val="18"/>
        </w:rPr>
        <w:t xml:space="preserve">van </w:t>
      </w:r>
      <w:r w:rsidRPr="00EC69CC">
        <w:rPr>
          <w:rFonts w:ascii="Verdana" w:hAnsi="Verdana"/>
          <w:i/>
          <w:sz w:val="18"/>
          <w:szCs w:val="18"/>
        </w:rPr>
        <w:t>micro</w:t>
      </w:r>
      <w:r>
        <w:rPr>
          <w:rFonts w:ascii="Verdana" w:hAnsi="Verdana"/>
          <w:i/>
          <w:sz w:val="18"/>
          <w:szCs w:val="18"/>
        </w:rPr>
        <w:t>-</w:t>
      </w:r>
      <w:r w:rsidRPr="00EC69CC">
        <w:rPr>
          <w:rFonts w:ascii="Verdana" w:hAnsi="Verdana"/>
          <w:i/>
          <w:sz w:val="18"/>
          <w:szCs w:val="18"/>
        </w:rPr>
        <w:t>credentials</w:t>
      </w:r>
      <w:r w:rsidRPr="00EC69CC">
        <w:rPr>
          <w:rFonts w:ascii="Verdana" w:hAnsi="Verdana"/>
          <w:iCs/>
          <w:sz w:val="18"/>
          <w:szCs w:val="18"/>
        </w:rPr>
        <w:t xml:space="preserve"> ligt bij opleiders. Daarom verwelkomt het kabinet ondersteunde voorstellen </w:t>
      </w:r>
      <w:r w:rsidRPr="00487BE5" w:rsidR="00487BE5">
        <w:rPr>
          <w:rFonts w:ascii="Verdana" w:hAnsi="Verdana"/>
          <w:iCs/>
          <w:sz w:val="18"/>
          <w:szCs w:val="18"/>
        </w:rPr>
        <w:t>ten aanzien van kleinere onderwijseenheden</w:t>
      </w:r>
      <w:r w:rsidRPr="00EC69CC">
        <w:rPr>
          <w:rFonts w:ascii="Verdana" w:hAnsi="Verdana"/>
          <w:iCs/>
          <w:sz w:val="18"/>
          <w:szCs w:val="18"/>
        </w:rPr>
        <w:t xml:space="preserve"> </w:t>
      </w:r>
      <w:r>
        <w:rPr>
          <w:rFonts w:ascii="Verdana" w:hAnsi="Verdana"/>
          <w:iCs/>
          <w:sz w:val="18"/>
          <w:szCs w:val="18"/>
        </w:rPr>
        <w:t>terwijl het</w:t>
      </w:r>
      <w:r w:rsidRPr="00EC69CC">
        <w:rPr>
          <w:rFonts w:ascii="Verdana" w:hAnsi="Verdana"/>
          <w:iCs/>
          <w:sz w:val="18"/>
          <w:szCs w:val="18"/>
        </w:rPr>
        <w:t xml:space="preserve"> </w:t>
      </w:r>
      <w:r>
        <w:rPr>
          <w:rFonts w:ascii="Verdana" w:hAnsi="Verdana"/>
          <w:iCs/>
          <w:sz w:val="18"/>
          <w:szCs w:val="18"/>
        </w:rPr>
        <w:t>negatief staat tegenover</w:t>
      </w:r>
      <w:r w:rsidRPr="00EC69CC">
        <w:rPr>
          <w:rFonts w:ascii="Verdana" w:hAnsi="Verdana"/>
          <w:iCs/>
          <w:sz w:val="18"/>
          <w:szCs w:val="18"/>
        </w:rPr>
        <w:t xml:space="preserve"> voorstellen die verder gaan.</w:t>
      </w:r>
    </w:p>
    <w:p w:rsidR="00D47B40" w:rsidP="00D47B40" w:rsidRDefault="00D47B40" w14:paraId="1E43D135" w14:textId="77777777">
      <w:pPr>
        <w:spacing w:line="360" w:lineRule="auto"/>
        <w:rPr>
          <w:rFonts w:ascii="Verdana" w:hAnsi="Verdana"/>
          <w:iCs/>
          <w:sz w:val="18"/>
          <w:szCs w:val="18"/>
        </w:rPr>
      </w:pPr>
    </w:p>
    <w:p w:rsidR="005E107C" w:rsidP="00D47B40" w:rsidRDefault="00E20BC7" w14:paraId="2ABD9866" w14:textId="77777777">
      <w:pPr>
        <w:spacing w:line="360" w:lineRule="auto"/>
        <w:rPr>
          <w:rFonts w:ascii="Verdana" w:hAnsi="Verdana"/>
          <w:iCs/>
          <w:sz w:val="18"/>
          <w:szCs w:val="18"/>
        </w:rPr>
      </w:pPr>
      <w:r>
        <w:rPr>
          <w:rFonts w:ascii="Verdana" w:hAnsi="Verdana"/>
          <w:iCs/>
          <w:sz w:val="18"/>
          <w:szCs w:val="18"/>
        </w:rPr>
        <w:t>Verder</w:t>
      </w:r>
      <w:r w:rsidR="00707097">
        <w:rPr>
          <w:rFonts w:ascii="Verdana" w:hAnsi="Verdana"/>
          <w:iCs/>
          <w:sz w:val="18"/>
          <w:szCs w:val="18"/>
        </w:rPr>
        <w:t xml:space="preserve"> bouwt de Academie voort op het conceptuele raamwerk zoals omschreven in het in 2022 gepubliceerde </w:t>
      </w:r>
      <w:r w:rsidR="00707097">
        <w:rPr>
          <w:rFonts w:ascii="Verdana" w:hAnsi="Verdana"/>
          <w:i/>
          <w:sz w:val="18"/>
          <w:szCs w:val="18"/>
        </w:rPr>
        <w:t>European Cybersecurity Skills Framework</w:t>
      </w:r>
      <w:r w:rsidR="00707097">
        <w:rPr>
          <w:rFonts w:ascii="Verdana" w:hAnsi="Verdana"/>
          <w:iCs/>
          <w:sz w:val="18"/>
          <w:szCs w:val="18"/>
        </w:rPr>
        <w:t xml:space="preserve"> (ECSF), waarin de definitie van ‘cybersecurity professional’ voornamelijk gericht is op de meer technisch</w:t>
      </w:r>
      <w:r w:rsidR="008E3AA2">
        <w:rPr>
          <w:rFonts w:ascii="Verdana" w:hAnsi="Verdana"/>
          <w:iCs/>
          <w:sz w:val="18"/>
          <w:szCs w:val="18"/>
        </w:rPr>
        <w:t xml:space="preserve"> </w:t>
      </w:r>
      <w:r w:rsidR="00707097">
        <w:rPr>
          <w:rFonts w:ascii="Verdana" w:hAnsi="Verdana"/>
          <w:iCs/>
          <w:sz w:val="18"/>
          <w:szCs w:val="18"/>
        </w:rPr>
        <w:t xml:space="preserve">georiënteerde beroepen. </w:t>
      </w:r>
      <w:r w:rsidR="00DF29AD">
        <w:rPr>
          <w:rFonts w:ascii="Verdana" w:hAnsi="Verdana"/>
          <w:iCs/>
          <w:sz w:val="18"/>
          <w:szCs w:val="18"/>
        </w:rPr>
        <w:t>Het kabinet</w:t>
      </w:r>
      <w:r w:rsidR="00707097">
        <w:rPr>
          <w:rFonts w:ascii="Verdana" w:hAnsi="Verdana"/>
          <w:iCs/>
          <w:sz w:val="18"/>
          <w:szCs w:val="18"/>
        </w:rPr>
        <w:t xml:space="preserve"> </w:t>
      </w:r>
      <w:r w:rsidR="00CC7329">
        <w:rPr>
          <w:rFonts w:ascii="Verdana" w:hAnsi="Verdana"/>
          <w:iCs/>
          <w:sz w:val="18"/>
          <w:szCs w:val="18"/>
        </w:rPr>
        <w:t xml:space="preserve">onderschrijft het belang van een gedeelde Europese taxonomie voor cybersecurity vaardigheden maar </w:t>
      </w:r>
      <w:r w:rsidR="00B908F2">
        <w:rPr>
          <w:rFonts w:ascii="Verdana" w:hAnsi="Verdana"/>
          <w:iCs/>
          <w:sz w:val="18"/>
          <w:szCs w:val="18"/>
        </w:rPr>
        <w:t xml:space="preserve">maakt zich </w:t>
      </w:r>
      <w:r w:rsidR="00CC7329">
        <w:rPr>
          <w:rFonts w:ascii="Verdana" w:hAnsi="Verdana"/>
          <w:iCs/>
          <w:sz w:val="18"/>
          <w:szCs w:val="18"/>
        </w:rPr>
        <w:t xml:space="preserve">tegelijkertijd </w:t>
      </w:r>
      <w:r w:rsidR="00B908F2">
        <w:rPr>
          <w:rFonts w:ascii="Verdana" w:hAnsi="Verdana"/>
          <w:iCs/>
          <w:sz w:val="18"/>
          <w:szCs w:val="18"/>
        </w:rPr>
        <w:t>hard</w:t>
      </w:r>
      <w:r w:rsidRPr="00C7271A" w:rsidR="00707097">
        <w:rPr>
          <w:rFonts w:ascii="Verdana" w:hAnsi="Verdana"/>
          <w:iCs/>
          <w:sz w:val="18"/>
          <w:szCs w:val="18"/>
        </w:rPr>
        <w:t xml:space="preserve"> voor een multidisciplinaire aanpak van het cybersecurity</w:t>
      </w:r>
      <w:r w:rsidR="008E3AA2">
        <w:rPr>
          <w:rFonts w:ascii="Verdana" w:hAnsi="Verdana"/>
          <w:iCs/>
          <w:sz w:val="18"/>
          <w:szCs w:val="18"/>
        </w:rPr>
        <w:t>-</w:t>
      </w:r>
      <w:r w:rsidRPr="00C7271A" w:rsidR="00707097">
        <w:rPr>
          <w:rFonts w:ascii="Verdana" w:hAnsi="Verdana"/>
          <w:iCs/>
          <w:sz w:val="18"/>
          <w:szCs w:val="18"/>
        </w:rPr>
        <w:t>arbeidsmarktvraagstuk</w:t>
      </w:r>
      <w:r w:rsidR="00CC7329">
        <w:rPr>
          <w:rFonts w:ascii="Verdana" w:hAnsi="Verdana"/>
          <w:iCs/>
          <w:sz w:val="18"/>
          <w:szCs w:val="18"/>
        </w:rPr>
        <w:t xml:space="preserve">. </w:t>
      </w:r>
      <w:r>
        <w:rPr>
          <w:rFonts w:ascii="Verdana" w:hAnsi="Verdana"/>
          <w:iCs/>
          <w:sz w:val="18"/>
          <w:szCs w:val="18"/>
        </w:rPr>
        <w:t xml:space="preserve">Het kabinet zal er wederom op wijzen dat </w:t>
      </w:r>
      <w:r w:rsidR="00707097">
        <w:rPr>
          <w:rFonts w:ascii="Verdana" w:hAnsi="Verdana"/>
          <w:iCs/>
          <w:sz w:val="18"/>
          <w:szCs w:val="18"/>
        </w:rPr>
        <w:t xml:space="preserve">er ook aandacht </w:t>
      </w:r>
      <w:r>
        <w:rPr>
          <w:rFonts w:ascii="Verdana" w:hAnsi="Verdana"/>
          <w:iCs/>
          <w:sz w:val="18"/>
          <w:szCs w:val="18"/>
        </w:rPr>
        <w:t xml:space="preserve">moet </w:t>
      </w:r>
      <w:r w:rsidR="00707097">
        <w:rPr>
          <w:rFonts w:ascii="Verdana" w:hAnsi="Verdana"/>
          <w:iCs/>
          <w:sz w:val="18"/>
          <w:szCs w:val="18"/>
        </w:rPr>
        <w:t xml:space="preserve">zijn voor </w:t>
      </w:r>
      <w:r w:rsidR="00DF29AD">
        <w:rPr>
          <w:rFonts w:ascii="Verdana" w:hAnsi="Verdana"/>
          <w:iCs/>
          <w:sz w:val="18"/>
          <w:szCs w:val="18"/>
        </w:rPr>
        <w:t>geesteswetenschappen en gedragswetenschappen.</w:t>
      </w:r>
      <w:r w:rsidR="00707097">
        <w:rPr>
          <w:rFonts w:ascii="Verdana" w:hAnsi="Verdana"/>
          <w:iCs/>
          <w:sz w:val="18"/>
          <w:szCs w:val="18"/>
        </w:rPr>
        <w:t xml:space="preserve"> </w:t>
      </w:r>
      <w:r w:rsidR="007365BD">
        <w:rPr>
          <w:rFonts w:ascii="Verdana" w:hAnsi="Verdana"/>
          <w:iCs/>
          <w:sz w:val="18"/>
          <w:szCs w:val="18"/>
        </w:rPr>
        <w:t xml:space="preserve">Op die manier wordt er ook </w:t>
      </w:r>
      <w:r w:rsidR="007365BD">
        <w:rPr>
          <w:rFonts w:ascii="Verdana" w:hAnsi="Verdana"/>
          <w:iCs/>
          <w:sz w:val="18"/>
          <w:szCs w:val="18"/>
        </w:rPr>
        <w:lastRenderedPageBreak/>
        <w:t xml:space="preserve">personeel opgeleid om aan de slag te gaan met de ethische, bestuurskundige en sociale onderdelen van het cybersecurity domein. </w:t>
      </w:r>
    </w:p>
    <w:p w:rsidR="00513465" w:rsidP="00C7271A" w:rsidRDefault="00513465" w14:paraId="468C5918" w14:textId="77777777">
      <w:pPr>
        <w:spacing w:line="360" w:lineRule="auto"/>
        <w:rPr>
          <w:rFonts w:ascii="Verdana" w:hAnsi="Verdana"/>
          <w:iCs/>
          <w:sz w:val="18"/>
          <w:szCs w:val="18"/>
        </w:rPr>
      </w:pPr>
    </w:p>
    <w:p w:rsidR="00C7271A" w:rsidP="00C7271A" w:rsidRDefault="00DF29AD" w14:paraId="1142D7F8" w14:textId="77777777">
      <w:pPr>
        <w:spacing w:line="360" w:lineRule="auto"/>
        <w:rPr>
          <w:rFonts w:ascii="Verdana" w:hAnsi="Verdana"/>
          <w:iCs/>
          <w:sz w:val="18"/>
          <w:szCs w:val="18"/>
        </w:rPr>
      </w:pPr>
      <w:r>
        <w:rPr>
          <w:rFonts w:ascii="Verdana" w:hAnsi="Verdana"/>
          <w:iCs/>
          <w:sz w:val="18"/>
          <w:szCs w:val="18"/>
        </w:rPr>
        <w:t xml:space="preserve">Tot slot </w:t>
      </w:r>
      <w:r w:rsidR="0009105C">
        <w:rPr>
          <w:rFonts w:ascii="Verdana" w:hAnsi="Verdana"/>
          <w:iCs/>
          <w:sz w:val="18"/>
          <w:szCs w:val="18"/>
        </w:rPr>
        <w:t>acht</w:t>
      </w:r>
      <w:r>
        <w:rPr>
          <w:rFonts w:ascii="Verdana" w:hAnsi="Verdana"/>
          <w:iCs/>
          <w:sz w:val="18"/>
          <w:szCs w:val="18"/>
        </w:rPr>
        <w:t xml:space="preserve"> het kabinet </w:t>
      </w:r>
      <w:r w:rsidR="0009105C">
        <w:rPr>
          <w:rFonts w:ascii="Verdana" w:hAnsi="Verdana"/>
          <w:iCs/>
          <w:sz w:val="18"/>
          <w:szCs w:val="18"/>
        </w:rPr>
        <w:t xml:space="preserve">het belangrijk om een aanpak van het cybersecurity arbeidsmarkttekort op een logische wijze aan te laten sluiten op Europees beleid met betrekking tot het bredere tekort aan voldoende gekwalificeerd ICT-professionals. Cybersecurity is in het onderwijs namelijk vaak een specialisatie, hetgeen volgt op een basisopleiding op het gebied van ICT. Daarmee moet bezien worden wat de juiste rol is van organisaties als het ECCC en ENISA met betrekking tot de Academie.  </w:t>
      </w:r>
    </w:p>
    <w:p w:rsidRPr="0009105C" w:rsidR="00AB00CD" w:rsidP="00C7271A" w:rsidRDefault="00AB00CD" w14:paraId="4C640E4C" w14:textId="77777777">
      <w:pPr>
        <w:spacing w:line="360" w:lineRule="auto"/>
        <w:rPr>
          <w:rFonts w:ascii="Verdana" w:hAnsi="Verdana"/>
          <w:iCs/>
          <w:sz w:val="18"/>
          <w:szCs w:val="18"/>
        </w:rPr>
      </w:pPr>
    </w:p>
    <w:p w:rsidR="000F589D" w:rsidP="000F589D" w:rsidRDefault="009B3EED" w14:paraId="35856535" w14:textId="77777777">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00843311" w:rsidP="000F589D" w:rsidRDefault="00865D72" w14:paraId="631C0141" w14:textId="77777777">
      <w:pPr>
        <w:spacing w:line="360" w:lineRule="auto"/>
        <w:rPr>
          <w:rFonts w:ascii="Verdana" w:hAnsi="Verdana"/>
          <w:iCs/>
          <w:sz w:val="18"/>
          <w:szCs w:val="18"/>
        </w:rPr>
      </w:pPr>
      <w:r>
        <w:rPr>
          <w:rFonts w:ascii="Verdana" w:hAnsi="Verdana"/>
          <w:iCs/>
          <w:sz w:val="18"/>
          <w:szCs w:val="18"/>
        </w:rPr>
        <w:t xml:space="preserve">In algemene zin onderschrijven alle EU-lidstaten de doelstelling om het </w:t>
      </w:r>
      <w:r>
        <w:rPr>
          <w:rFonts w:ascii="Verdana" w:hAnsi="Verdana"/>
          <w:bCs/>
          <w:sz w:val="18"/>
          <w:szCs w:val="18"/>
        </w:rPr>
        <w:t xml:space="preserve">tekort aan gekwalificeerde cybersecurityprofessionals op de Europese arbeidsmarkt verkleinen. In het verlengde daarvan zullen veel lidstaten naar verwachting in beginsel het voorstel voor de Academie ondersteunen. De verwachting is wel dat een aantal lidstaten zich kritisch zal uitspreken over verschillende onderdelen van het initiatief. </w:t>
      </w:r>
      <w:r w:rsidR="00DA1C7A">
        <w:rPr>
          <w:rFonts w:ascii="Verdana" w:hAnsi="Verdana"/>
          <w:iCs/>
          <w:sz w:val="18"/>
          <w:szCs w:val="18"/>
        </w:rPr>
        <w:t>O</w:t>
      </w:r>
      <w:r w:rsidR="00843311">
        <w:rPr>
          <w:rFonts w:ascii="Verdana" w:hAnsi="Verdana"/>
          <w:iCs/>
          <w:sz w:val="18"/>
          <w:szCs w:val="18"/>
        </w:rPr>
        <w:t xml:space="preserve">ok zijn er meermaals vragen gesteld over de beperkte rol die het ECCC heeft mogen spelen tijdens de allocatie van middelen uit het </w:t>
      </w:r>
      <w:r w:rsidRPr="00B00BEF" w:rsidR="00843311">
        <w:rPr>
          <w:rFonts w:ascii="Verdana" w:hAnsi="Verdana"/>
          <w:i/>
          <w:sz w:val="18"/>
          <w:szCs w:val="18"/>
        </w:rPr>
        <w:t>Digital Europe</w:t>
      </w:r>
      <w:r w:rsidR="00843311">
        <w:rPr>
          <w:rFonts w:ascii="Verdana" w:hAnsi="Verdana"/>
          <w:iCs/>
          <w:sz w:val="18"/>
          <w:szCs w:val="18"/>
        </w:rPr>
        <w:t xml:space="preserve"> Programma, richting de Academie. Het is namelijk </w:t>
      </w:r>
      <w:r w:rsidR="00247555">
        <w:rPr>
          <w:rFonts w:ascii="Verdana" w:hAnsi="Verdana"/>
          <w:iCs/>
          <w:sz w:val="18"/>
          <w:szCs w:val="18"/>
        </w:rPr>
        <w:t xml:space="preserve">het </w:t>
      </w:r>
      <w:r w:rsidR="00843311">
        <w:rPr>
          <w:rFonts w:ascii="Verdana" w:hAnsi="Verdana"/>
          <w:iCs/>
          <w:sz w:val="18"/>
          <w:szCs w:val="18"/>
        </w:rPr>
        <w:t xml:space="preserve">ECCC </w:t>
      </w:r>
      <w:r w:rsidR="00247555">
        <w:rPr>
          <w:rFonts w:ascii="Verdana" w:hAnsi="Verdana"/>
          <w:iCs/>
          <w:sz w:val="18"/>
          <w:szCs w:val="18"/>
        </w:rPr>
        <w:t xml:space="preserve">dat </w:t>
      </w:r>
      <w:r w:rsidR="00843311">
        <w:rPr>
          <w:rFonts w:ascii="Verdana" w:hAnsi="Verdana"/>
          <w:iCs/>
          <w:sz w:val="18"/>
          <w:szCs w:val="18"/>
        </w:rPr>
        <w:t>verantwoordelijk is voor het verdelen</w:t>
      </w:r>
      <w:r w:rsidR="00EC68DA">
        <w:rPr>
          <w:rFonts w:ascii="Verdana" w:hAnsi="Verdana"/>
          <w:iCs/>
          <w:sz w:val="18"/>
          <w:szCs w:val="18"/>
        </w:rPr>
        <w:t xml:space="preserve"> van Europese subsidies</w:t>
      </w:r>
      <w:r w:rsidR="00843311">
        <w:rPr>
          <w:rFonts w:ascii="Verdana" w:hAnsi="Verdana"/>
          <w:iCs/>
          <w:sz w:val="18"/>
          <w:szCs w:val="18"/>
        </w:rPr>
        <w:t xml:space="preserve"> en </w:t>
      </w:r>
      <w:r w:rsidR="00247555">
        <w:rPr>
          <w:rFonts w:ascii="Verdana" w:hAnsi="Verdana"/>
          <w:iCs/>
          <w:sz w:val="18"/>
          <w:szCs w:val="18"/>
        </w:rPr>
        <w:t xml:space="preserve">het </w:t>
      </w:r>
      <w:r w:rsidR="00843311">
        <w:rPr>
          <w:rFonts w:ascii="Verdana" w:hAnsi="Verdana"/>
          <w:iCs/>
          <w:sz w:val="18"/>
          <w:szCs w:val="18"/>
        </w:rPr>
        <w:t xml:space="preserve">implementeren van Europese subsidie instrumenten op het gebied van cybersecurity. </w:t>
      </w:r>
    </w:p>
    <w:p w:rsidR="005A0708" w:rsidP="000F589D" w:rsidRDefault="005A0708" w14:paraId="4468F4E7" w14:textId="77777777">
      <w:pPr>
        <w:spacing w:line="360" w:lineRule="auto"/>
        <w:rPr>
          <w:rFonts w:ascii="Verdana" w:hAnsi="Verdana"/>
          <w:iCs/>
          <w:sz w:val="18"/>
          <w:szCs w:val="18"/>
        </w:rPr>
      </w:pPr>
    </w:p>
    <w:p w:rsidR="00EC69CC" w:rsidP="000F589D" w:rsidRDefault="00EC69CC" w14:paraId="0988170A" w14:textId="77777777">
      <w:pPr>
        <w:spacing w:line="360" w:lineRule="auto"/>
        <w:rPr>
          <w:rFonts w:ascii="Verdana" w:hAnsi="Verdana"/>
          <w:iCs/>
          <w:sz w:val="18"/>
          <w:szCs w:val="18"/>
        </w:rPr>
      </w:pPr>
      <w:r>
        <w:rPr>
          <w:rFonts w:ascii="Verdana" w:hAnsi="Verdana"/>
          <w:iCs/>
          <w:sz w:val="18"/>
          <w:szCs w:val="18"/>
        </w:rPr>
        <w:t xml:space="preserve">Vanuit onderwijsbeleid hebben lidstaten </w:t>
      </w:r>
      <w:r w:rsidR="007365BD">
        <w:rPr>
          <w:rFonts w:ascii="Verdana" w:hAnsi="Verdana"/>
          <w:iCs/>
          <w:sz w:val="18"/>
          <w:szCs w:val="18"/>
        </w:rPr>
        <w:t xml:space="preserve">in eerste instantie </w:t>
      </w:r>
      <w:r>
        <w:rPr>
          <w:rFonts w:ascii="Verdana" w:hAnsi="Verdana"/>
          <w:iCs/>
          <w:sz w:val="18"/>
          <w:szCs w:val="18"/>
        </w:rPr>
        <w:t>kanttekeningen geplaatst bij voorstellen vanuit de Commissie die toezien op specifieke sectoren. Argument hierbij is vaak dat onderwijsbeleid generiek van aard zou moeten zijn. Daarnaast hebben verschillende lidstaten aangegeven de term ‘Academie’ verwarrend te vinden, daar het in de mededeling gaat om een digitaal platform en niet een (fysieke) onderwijsinstelling.</w:t>
      </w:r>
    </w:p>
    <w:p w:rsidR="00EC69CC" w:rsidP="000F589D" w:rsidRDefault="00EC69CC" w14:paraId="44E89B4C" w14:textId="77777777">
      <w:pPr>
        <w:spacing w:line="360" w:lineRule="auto"/>
        <w:rPr>
          <w:rFonts w:ascii="Verdana" w:hAnsi="Verdana"/>
          <w:iCs/>
          <w:sz w:val="18"/>
          <w:szCs w:val="18"/>
        </w:rPr>
      </w:pPr>
    </w:p>
    <w:p w:rsidR="007B55EC" w:rsidP="007B55EC" w:rsidRDefault="005A0708" w14:paraId="2A9A8316" w14:textId="77777777">
      <w:pPr>
        <w:spacing w:line="360" w:lineRule="auto"/>
        <w:rPr>
          <w:rFonts w:ascii="Verdana" w:hAnsi="Verdana"/>
          <w:iCs/>
          <w:sz w:val="18"/>
          <w:szCs w:val="18"/>
        </w:rPr>
      </w:pPr>
      <w:r>
        <w:rPr>
          <w:rFonts w:ascii="Verdana" w:hAnsi="Verdana"/>
          <w:iCs/>
          <w:sz w:val="18"/>
          <w:szCs w:val="18"/>
        </w:rPr>
        <w:t xml:space="preserve">De Commissie heeft eerder uitvraag gedaan naar interesse vanuit de </w:t>
      </w:r>
      <w:r w:rsidR="007B55EC">
        <w:rPr>
          <w:rFonts w:ascii="Verdana" w:hAnsi="Verdana"/>
          <w:iCs/>
          <w:sz w:val="18"/>
          <w:szCs w:val="18"/>
        </w:rPr>
        <w:t>l</w:t>
      </w:r>
      <w:r>
        <w:rPr>
          <w:rFonts w:ascii="Verdana" w:hAnsi="Verdana"/>
          <w:iCs/>
          <w:sz w:val="18"/>
          <w:szCs w:val="18"/>
        </w:rPr>
        <w:t>idstaten om gebruik te gaan maken van het EDIC als instrument, ook specifiek voor de Academie.</w:t>
      </w:r>
      <w:r w:rsidR="007B55EC">
        <w:rPr>
          <w:rFonts w:ascii="Verdana" w:hAnsi="Verdana"/>
          <w:iCs/>
          <w:sz w:val="18"/>
          <w:szCs w:val="18"/>
        </w:rPr>
        <w:t xml:space="preserve"> Enkele lidstaten hebben al vroeg aangegeven geïnteresseerd te zijn een consortium te vormen. Mogelijk met elkaar. Een aantal andere lidstaten hebben zich gemeld om aangesloten te blijven op de ontwikkelingen rondom een EDIC voor de Academie. </w:t>
      </w:r>
    </w:p>
    <w:p w:rsidR="00FD6679" w:rsidP="007B55EC" w:rsidRDefault="00FD6679" w14:paraId="04A3999E" w14:textId="77777777">
      <w:pPr>
        <w:spacing w:line="360" w:lineRule="auto"/>
        <w:rPr>
          <w:rFonts w:ascii="Verdana" w:hAnsi="Verdana"/>
          <w:iCs/>
          <w:sz w:val="18"/>
          <w:szCs w:val="18"/>
        </w:rPr>
      </w:pPr>
    </w:p>
    <w:p w:rsidR="008528D9" w:rsidP="00B908F2" w:rsidRDefault="00FD6679" w14:paraId="134905D6" w14:textId="77777777">
      <w:pPr>
        <w:spacing w:line="360" w:lineRule="auto"/>
        <w:rPr>
          <w:rFonts w:ascii="Verdana" w:hAnsi="Verdana"/>
          <w:iCs/>
          <w:sz w:val="18"/>
          <w:szCs w:val="18"/>
        </w:rPr>
      </w:pPr>
      <w:r>
        <w:rPr>
          <w:rFonts w:ascii="Verdana" w:hAnsi="Verdana"/>
          <w:iCs/>
          <w:sz w:val="18"/>
          <w:szCs w:val="18"/>
        </w:rPr>
        <w:t xml:space="preserve">De positie van het Europees parlement is nog niet bekend. </w:t>
      </w:r>
      <w:r w:rsidR="00B908F2">
        <w:rPr>
          <w:rFonts w:ascii="Verdana" w:hAnsi="Verdana"/>
          <w:iCs/>
          <w:sz w:val="18"/>
          <w:szCs w:val="18"/>
        </w:rPr>
        <w:t>Het is momenteel nog onduidelijk of de mededeling over de Academie in een EP-comité wordt behandeld.</w:t>
      </w:r>
    </w:p>
    <w:p w:rsidRPr="0064352A" w:rsidR="00B908F2" w:rsidP="00B908F2" w:rsidRDefault="00B908F2" w14:paraId="7371A87F" w14:textId="77777777">
      <w:pPr>
        <w:spacing w:line="360" w:lineRule="auto"/>
        <w:rPr>
          <w:rFonts w:ascii="Verdana" w:hAnsi="Verdana"/>
          <w:sz w:val="18"/>
          <w:szCs w:val="18"/>
        </w:rPr>
      </w:pPr>
    </w:p>
    <w:p w:rsidR="00F54AFF" w:rsidP="000D01B7" w:rsidRDefault="00FD0CBD" w14:paraId="6A5A1475" w14:textId="77777777">
      <w:pPr>
        <w:numPr>
          <w:ilvl w:val="0"/>
          <w:numId w:val="15"/>
        </w:numPr>
        <w:spacing w:line="360" w:lineRule="auto"/>
        <w:rPr>
          <w:rFonts w:ascii="Verdana" w:hAnsi="Verdana"/>
          <w:b/>
          <w:sz w:val="18"/>
          <w:szCs w:val="18"/>
        </w:rPr>
      </w:pPr>
      <w:r>
        <w:rPr>
          <w:rFonts w:ascii="Verdana" w:hAnsi="Verdana"/>
          <w:b/>
          <w:sz w:val="18"/>
          <w:szCs w:val="18"/>
        </w:rPr>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Pr="00372A30" w:rsidR="00D301A6" w:rsidP="00D301A6" w:rsidRDefault="00FD0CBD" w14:paraId="69AB1BE8" w14:textId="77777777">
      <w:pPr>
        <w:numPr>
          <w:ilvl w:val="0"/>
          <w:numId w:val="22"/>
        </w:numPr>
        <w:spacing w:line="360" w:lineRule="auto"/>
        <w:rPr>
          <w:rFonts w:ascii="Verdana" w:hAnsi="Verdana"/>
          <w:i/>
          <w:sz w:val="18"/>
          <w:szCs w:val="18"/>
        </w:rPr>
      </w:pPr>
      <w:bookmarkStart w:name="_Hlk133320758" w:id="0"/>
      <w:r w:rsidRPr="009B3EED">
        <w:rPr>
          <w:rFonts w:ascii="Verdana" w:hAnsi="Verdana"/>
          <w:i/>
          <w:sz w:val="18"/>
          <w:szCs w:val="18"/>
        </w:rPr>
        <w:t>Bevoegdheid</w:t>
      </w:r>
    </w:p>
    <w:p w:rsidR="00D301A6" w:rsidP="00D301A6" w:rsidRDefault="003B7255" w14:paraId="645A943B" w14:textId="77777777">
      <w:pPr>
        <w:spacing w:line="360" w:lineRule="auto"/>
        <w:rPr>
          <w:rFonts w:ascii="Verdana" w:hAnsi="Verdana"/>
          <w:sz w:val="18"/>
          <w:szCs w:val="18"/>
        </w:rPr>
      </w:pPr>
      <w:r w:rsidRPr="003B7255">
        <w:rPr>
          <w:rFonts w:ascii="Verdana" w:hAnsi="Verdana"/>
          <w:sz w:val="18"/>
          <w:szCs w:val="18"/>
        </w:rPr>
        <w:t xml:space="preserve">De grondhouding van het kabinet is positief. De Commissie is bevoegd om </w:t>
      </w:r>
      <w:r w:rsidR="008E3AA2">
        <w:rPr>
          <w:rFonts w:ascii="Verdana" w:hAnsi="Verdana"/>
          <w:sz w:val="18"/>
          <w:szCs w:val="18"/>
        </w:rPr>
        <w:t xml:space="preserve">deze </w:t>
      </w:r>
      <w:r w:rsidRPr="003B7255">
        <w:rPr>
          <w:rFonts w:ascii="Verdana" w:hAnsi="Verdana"/>
          <w:sz w:val="18"/>
          <w:szCs w:val="18"/>
        </w:rPr>
        <w:t xml:space="preserve">mededeling </w:t>
      </w:r>
      <w:r w:rsidR="008E3AA2">
        <w:rPr>
          <w:rFonts w:ascii="Verdana" w:hAnsi="Verdana"/>
          <w:sz w:val="18"/>
          <w:szCs w:val="18"/>
        </w:rPr>
        <w:t>uit te vaardigen</w:t>
      </w:r>
      <w:r w:rsidRPr="003B7255">
        <w:rPr>
          <w:rFonts w:ascii="Verdana" w:hAnsi="Verdana"/>
          <w:sz w:val="18"/>
          <w:szCs w:val="18"/>
        </w:rPr>
        <w:t xml:space="preserve">. Deze mededeling heeft betrekking op de terreinen onderwijs/beroepsopleiding en </w:t>
      </w:r>
      <w:r w:rsidRPr="003B7255">
        <w:rPr>
          <w:rFonts w:ascii="Verdana" w:hAnsi="Verdana"/>
          <w:sz w:val="18"/>
          <w:szCs w:val="18"/>
        </w:rPr>
        <w:lastRenderedPageBreak/>
        <w:t>civiele bescherming. Op deze terreinen is sprake van een aanvullende bevoegdheid van de EU op basis van artikel 6</w:t>
      </w:r>
      <w:r w:rsidR="001178C6">
        <w:rPr>
          <w:rFonts w:ascii="Verdana" w:hAnsi="Verdana"/>
          <w:sz w:val="18"/>
          <w:szCs w:val="18"/>
        </w:rPr>
        <w:t>, onder e en f,</w:t>
      </w:r>
      <w:r w:rsidRPr="003B7255">
        <w:rPr>
          <w:rFonts w:ascii="Verdana" w:hAnsi="Verdana"/>
          <w:sz w:val="18"/>
          <w:szCs w:val="18"/>
        </w:rPr>
        <w:t xml:space="preserve"> uit het Verdrag betreffende de werking van de Europese Unie</w:t>
      </w:r>
      <w:r w:rsidR="001178C6">
        <w:rPr>
          <w:rFonts w:ascii="Verdana" w:hAnsi="Verdana"/>
          <w:sz w:val="18"/>
          <w:szCs w:val="18"/>
        </w:rPr>
        <w:t xml:space="preserve"> (VWEU).</w:t>
      </w:r>
      <w:r w:rsidRPr="003B7255">
        <w:rPr>
          <w:rFonts w:ascii="Verdana" w:hAnsi="Verdana"/>
          <w:sz w:val="18"/>
          <w:szCs w:val="18"/>
        </w:rPr>
        <w:t xml:space="preserve"> </w:t>
      </w:r>
      <w:r w:rsidR="001178C6">
        <w:rPr>
          <w:rFonts w:ascii="Verdana" w:hAnsi="Verdana"/>
          <w:sz w:val="18"/>
          <w:szCs w:val="18"/>
        </w:rPr>
        <w:t>De</w:t>
      </w:r>
      <w:r w:rsidRPr="003B7255">
        <w:rPr>
          <w:rFonts w:ascii="Verdana" w:hAnsi="Verdana"/>
          <w:sz w:val="18"/>
          <w:szCs w:val="18"/>
        </w:rPr>
        <w:t xml:space="preserve"> Unie </w:t>
      </w:r>
      <w:r w:rsidR="001178C6">
        <w:rPr>
          <w:rFonts w:ascii="Verdana" w:hAnsi="Verdana"/>
          <w:sz w:val="18"/>
          <w:szCs w:val="18"/>
        </w:rPr>
        <w:t xml:space="preserve">is op grond daarvan </w:t>
      </w:r>
      <w:r w:rsidRPr="003B7255">
        <w:rPr>
          <w:rFonts w:ascii="Verdana" w:hAnsi="Verdana"/>
          <w:sz w:val="18"/>
          <w:szCs w:val="18"/>
        </w:rPr>
        <w:t xml:space="preserve">bevoegd op deze terreinen het optreden van de lidstaten te ondersteunen, te coördineren of aan te vullen. </w:t>
      </w:r>
      <w:r w:rsidR="001178C6">
        <w:rPr>
          <w:rFonts w:ascii="Verdana" w:hAnsi="Verdana"/>
          <w:sz w:val="18"/>
          <w:szCs w:val="18"/>
        </w:rPr>
        <w:t>De mededeling heeft verder betrekking o</w:t>
      </w:r>
      <w:r w:rsidRPr="003B7255">
        <w:rPr>
          <w:rFonts w:ascii="Verdana" w:hAnsi="Verdana"/>
          <w:sz w:val="18"/>
          <w:szCs w:val="18"/>
        </w:rPr>
        <w:t>p het terrein van onderzoek en technologische ontwikkeling</w:t>
      </w:r>
      <w:r w:rsidR="001178C6">
        <w:rPr>
          <w:rFonts w:ascii="Verdana" w:hAnsi="Verdana"/>
          <w:sz w:val="18"/>
          <w:szCs w:val="18"/>
        </w:rPr>
        <w:t>.</w:t>
      </w:r>
      <w:r w:rsidRPr="003B7255">
        <w:rPr>
          <w:rFonts w:ascii="Verdana" w:hAnsi="Verdana"/>
          <w:sz w:val="18"/>
          <w:szCs w:val="18"/>
        </w:rPr>
        <w:t xml:space="preserve"> </w:t>
      </w:r>
      <w:r w:rsidR="001178C6">
        <w:rPr>
          <w:rFonts w:ascii="Verdana" w:hAnsi="Verdana"/>
          <w:sz w:val="18"/>
          <w:szCs w:val="18"/>
        </w:rPr>
        <w:t xml:space="preserve">Het gaat hier om een parallelle bevoegdheid in de zin van </w:t>
      </w:r>
      <w:r w:rsidRPr="003B7255">
        <w:rPr>
          <w:rFonts w:ascii="Verdana" w:hAnsi="Verdana"/>
          <w:sz w:val="18"/>
          <w:szCs w:val="18"/>
        </w:rPr>
        <w:t>artikel 4, lid 3 VWEU</w:t>
      </w:r>
      <w:r w:rsidR="001178C6">
        <w:rPr>
          <w:rFonts w:ascii="Verdana" w:hAnsi="Verdana"/>
          <w:sz w:val="18"/>
          <w:szCs w:val="18"/>
        </w:rPr>
        <w:t xml:space="preserve">. De Unie is op dat gebied bevoegd om op te treden, met name door programma’s vast te stellen en uit te voeren, waarbij geldt dat de uitoefening van deze bevoegdheid door de Unie </w:t>
      </w:r>
      <w:r w:rsidRPr="003B7255">
        <w:rPr>
          <w:rFonts w:ascii="Verdana" w:hAnsi="Verdana"/>
          <w:sz w:val="18"/>
          <w:szCs w:val="18"/>
        </w:rPr>
        <w:t>de lidstaten niet belet hun eigen bevoegdheid uit te oefenen.</w:t>
      </w:r>
    </w:p>
    <w:p w:rsidRPr="009B3EED" w:rsidR="003B7255" w:rsidP="00D301A6" w:rsidRDefault="003B7255" w14:paraId="01F58C6E" w14:textId="77777777">
      <w:pPr>
        <w:spacing w:line="360" w:lineRule="auto"/>
        <w:rPr>
          <w:rFonts w:ascii="Verdana" w:hAnsi="Verdana"/>
          <w:i/>
          <w:sz w:val="18"/>
          <w:szCs w:val="18"/>
        </w:rPr>
      </w:pPr>
    </w:p>
    <w:p w:rsidRPr="00372A30" w:rsidR="005552A7" w:rsidP="005552A7" w:rsidRDefault="00FD0CBD" w14:paraId="44190824" w14:textId="77777777">
      <w:pPr>
        <w:numPr>
          <w:ilvl w:val="0"/>
          <w:numId w:val="22"/>
        </w:numPr>
        <w:spacing w:line="360" w:lineRule="auto"/>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004235AE" w:rsidP="005552A7" w:rsidRDefault="00665CB9" w14:paraId="0F5A1F0E" w14:textId="77777777">
      <w:pPr>
        <w:spacing w:line="360" w:lineRule="auto"/>
        <w:rPr>
          <w:rFonts w:ascii="Verdana" w:hAnsi="Verdana"/>
          <w:iCs/>
          <w:sz w:val="18"/>
          <w:szCs w:val="18"/>
        </w:rPr>
      </w:pPr>
      <w:r>
        <w:rPr>
          <w:rFonts w:ascii="Verdana" w:hAnsi="Verdana"/>
          <w:iCs/>
          <w:sz w:val="18"/>
          <w:szCs w:val="18"/>
        </w:rPr>
        <w:t>De grondhouding</w:t>
      </w:r>
      <w:r w:rsidR="004235AE">
        <w:rPr>
          <w:rFonts w:ascii="Verdana" w:hAnsi="Verdana"/>
          <w:iCs/>
          <w:sz w:val="18"/>
          <w:szCs w:val="18"/>
        </w:rPr>
        <w:t xml:space="preserve"> van het kabinet is positief. De mededeling heeft tot doel het </w:t>
      </w:r>
      <w:r w:rsidRPr="004235AE" w:rsidR="004235AE">
        <w:rPr>
          <w:rFonts w:ascii="Verdana" w:hAnsi="Verdana"/>
          <w:iCs/>
          <w:sz w:val="18"/>
          <w:szCs w:val="18"/>
        </w:rPr>
        <w:t>tekort aan gekwalificeerd</w:t>
      </w:r>
      <w:r w:rsidR="003A5C75">
        <w:rPr>
          <w:rFonts w:ascii="Verdana" w:hAnsi="Verdana"/>
          <w:iCs/>
          <w:sz w:val="18"/>
          <w:szCs w:val="18"/>
        </w:rPr>
        <w:t>e</w:t>
      </w:r>
      <w:r w:rsidRPr="004235AE" w:rsidR="004235AE">
        <w:rPr>
          <w:rFonts w:ascii="Verdana" w:hAnsi="Verdana"/>
          <w:iCs/>
          <w:sz w:val="18"/>
          <w:szCs w:val="18"/>
        </w:rPr>
        <w:t xml:space="preserve"> cybersecurity</w:t>
      </w:r>
      <w:r w:rsidR="003A5C75">
        <w:rPr>
          <w:rFonts w:ascii="Verdana" w:hAnsi="Verdana"/>
          <w:iCs/>
          <w:sz w:val="18"/>
          <w:szCs w:val="18"/>
        </w:rPr>
        <w:t xml:space="preserve">professionals </w:t>
      </w:r>
      <w:r w:rsidRPr="004235AE" w:rsidR="004235AE">
        <w:rPr>
          <w:rFonts w:ascii="Verdana" w:hAnsi="Verdana"/>
          <w:iCs/>
          <w:sz w:val="18"/>
          <w:szCs w:val="18"/>
        </w:rPr>
        <w:t>op de Europese arbeidsmarkt</w:t>
      </w:r>
      <w:r w:rsidR="004235AE">
        <w:rPr>
          <w:rFonts w:ascii="Verdana" w:hAnsi="Verdana"/>
          <w:iCs/>
          <w:sz w:val="18"/>
          <w:szCs w:val="18"/>
        </w:rPr>
        <w:t xml:space="preserve"> te verkleinen. Gezien het grensoverschrijdende karakter van de </w:t>
      </w:r>
      <w:r w:rsidR="00487BE5">
        <w:rPr>
          <w:rFonts w:ascii="Verdana" w:hAnsi="Verdana"/>
          <w:iCs/>
          <w:sz w:val="18"/>
          <w:szCs w:val="18"/>
        </w:rPr>
        <w:t xml:space="preserve">cybersecurity </w:t>
      </w:r>
      <w:r w:rsidR="004235AE">
        <w:rPr>
          <w:rFonts w:ascii="Verdana" w:hAnsi="Verdana"/>
          <w:iCs/>
          <w:sz w:val="18"/>
          <w:szCs w:val="18"/>
        </w:rPr>
        <w:t>arbeidsmarkt</w:t>
      </w:r>
      <w:r w:rsidR="00C93A93">
        <w:rPr>
          <w:rFonts w:ascii="Verdana" w:hAnsi="Verdana"/>
          <w:iCs/>
          <w:sz w:val="18"/>
          <w:szCs w:val="18"/>
        </w:rPr>
        <w:t xml:space="preserve"> en </w:t>
      </w:r>
      <w:r w:rsidR="00487BE5">
        <w:rPr>
          <w:rFonts w:ascii="Verdana" w:hAnsi="Verdana"/>
          <w:iCs/>
          <w:sz w:val="18"/>
          <w:szCs w:val="18"/>
        </w:rPr>
        <w:t>(</w:t>
      </w:r>
      <w:r w:rsidR="00DF29AD">
        <w:rPr>
          <w:rFonts w:ascii="Verdana" w:hAnsi="Verdana"/>
          <w:iCs/>
          <w:sz w:val="18"/>
          <w:szCs w:val="18"/>
        </w:rPr>
        <w:t>de beveiliging</w:t>
      </w:r>
      <w:r w:rsidR="00487BE5">
        <w:rPr>
          <w:rFonts w:ascii="Verdana" w:hAnsi="Verdana"/>
          <w:iCs/>
          <w:sz w:val="18"/>
          <w:szCs w:val="18"/>
        </w:rPr>
        <w:t>)</w:t>
      </w:r>
      <w:r w:rsidR="00DF29AD">
        <w:rPr>
          <w:rFonts w:ascii="Verdana" w:hAnsi="Verdana"/>
          <w:iCs/>
          <w:sz w:val="18"/>
          <w:szCs w:val="18"/>
        </w:rPr>
        <w:t xml:space="preserve"> van</w:t>
      </w:r>
      <w:r w:rsidR="00C93A93">
        <w:rPr>
          <w:rFonts w:ascii="Verdana" w:hAnsi="Verdana"/>
          <w:iCs/>
          <w:sz w:val="18"/>
          <w:szCs w:val="18"/>
        </w:rPr>
        <w:t xml:space="preserve"> digitale </w:t>
      </w:r>
      <w:r w:rsidR="00DF29AD">
        <w:rPr>
          <w:rFonts w:ascii="Verdana" w:hAnsi="Verdana"/>
          <w:iCs/>
          <w:sz w:val="18"/>
          <w:szCs w:val="18"/>
        </w:rPr>
        <w:t xml:space="preserve">(toeleverings)ketens </w:t>
      </w:r>
      <w:r w:rsidR="004235AE">
        <w:rPr>
          <w:rFonts w:ascii="Verdana" w:hAnsi="Verdana"/>
          <w:iCs/>
          <w:sz w:val="18"/>
          <w:szCs w:val="18"/>
        </w:rPr>
        <w:t>kan dit onvoldoende door de lidstaten op centraal, regionaal of lokaal niveau worden verwezenlijkt</w:t>
      </w:r>
      <w:r w:rsidR="002C678C">
        <w:rPr>
          <w:rFonts w:ascii="Verdana" w:hAnsi="Verdana"/>
          <w:iCs/>
          <w:sz w:val="18"/>
          <w:szCs w:val="18"/>
        </w:rPr>
        <w:t>.</w:t>
      </w:r>
      <w:r w:rsidR="004235AE">
        <w:rPr>
          <w:rFonts w:ascii="Verdana" w:hAnsi="Verdana"/>
          <w:iCs/>
          <w:sz w:val="18"/>
          <w:szCs w:val="18"/>
        </w:rPr>
        <w:t xml:space="preserve"> </w:t>
      </w:r>
      <w:r w:rsidRPr="002C678C" w:rsidR="002C678C">
        <w:rPr>
          <w:rFonts w:ascii="Verdana" w:hAnsi="Verdana"/>
          <w:iCs/>
          <w:sz w:val="18"/>
          <w:szCs w:val="18"/>
        </w:rPr>
        <w:t xml:space="preserve">Het kabinet ziet daarom meerwaarde in een EU-aanpak. Er is </w:t>
      </w:r>
      <w:r w:rsidR="002C678C">
        <w:rPr>
          <w:rFonts w:ascii="Verdana" w:hAnsi="Verdana"/>
          <w:iCs/>
          <w:sz w:val="18"/>
          <w:szCs w:val="18"/>
        </w:rPr>
        <w:t>nog</w:t>
      </w:r>
      <w:r w:rsidRPr="002C678C" w:rsidR="002C678C">
        <w:rPr>
          <w:rFonts w:ascii="Verdana" w:hAnsi="Verdana"/>
          <w:iCs/>
          <w:sz w:val="18"/>
          <w:szCs w:val="18"/>
        </w:rPr>
        <w:t xml:space="preserve"> geen gedeeld beeld tussen de lidstaten met betrekking tot het kwalificeren van </w:t>
      </w:r>
      <w:r w:rsidR="002C678C">
        <w:rPr>
          <w:rFonts w:ascii="Verdana" w:hAnsi="Verdana"/>
          <w:iCs/>
          <w:sz w:val="18"/>
          <w:szCs w:val="18"/>
        </w:rPr>
        <w:t>c</w:t>
      </w:r>
      <w:r w:rsidRPr="002C678C" w:rsidR="002C678C">
        <w:rPr>
          <w:rFonts w:ascii="Verdana" w:hAnsi="Verdana"/>
          <w:iCs/>
          <w:sz w:val="18"/>
          <w:szCs w:val="18"/>
        </w:rPr>
        <w:t xml:space="preserve">ybersecurityprofessionals en het monitoren van ontwikkelingen op de cybersecurityarbeidsmarkt. </w:t>
      </w:r>
      <w:r w:rsidR="00DF29AD">
        <w:rPr>
          <w:rFonts w:ascii="Verdana" w:hAnsi="Verdana"/>
          <w:iCs/>
          <w:sz w:val="18"/>
          <w:szCs w:val="18"/>
        </w:rPr>
        <w:t>D</w:t>
      </w:r>
      <w:r w:rsidR="004235AE">
        <w:rPr>
          <w:rFonts w:ascii="Verdana" w:hAnsi="Verdana"/>
          <w:iCs/>
          <w:sz w:val="18"/>
          <w:szCs w:val="18"/>
        </w:rPr>
        <w:t xml:space="preserve">e Academie </w:t>
      </w:r>
      <w:r w:rsidR="00DF29AD">
        <w:rPr>
          <w:rFonts w:ascii="Verdana" w:hAnsi="Verdana"/>
          <w:iCs/>
          <w:sz w:val="18"/>
          <w:szCs w:val="18"/>
        </w:rPr>
        <w:t>draagt eraan bij</w:t>
      </w:r>
      <w:r w:rsidR="004235AE">
        <w:rPr>
          <w:rFonts w:ascii="Verdana" w:hAnsi="Verdana"/>
          <w:iCs/>
          <w:sz w:val="18"/>
          <w:szCs w:val="18"/>
        </w:rPr>
        <w:t xml:space="preserve"> </w:t>
      </w:r>
      <w:r w:rsidR="00294CEA">
        <w:rPr>
          <w:rFonts w:ascii="Verdana" w:hAnsi="Verdana"/>
          <w:iCs/>
          <w:sz w:val="18"/>
          <w:szCs w:val="18"/>
        </w:rPr>
        <w:t xml:space="preserve">personele belemmeringen op de interne markt voor cybersecurityproducten en </w:t>
      </w:r>
      <w:r w:rsidR="00DF29AD">
        <w:rPr>
          <w:rFonts w:ascii="Verdana" w:hAnsi="Verdana"/>
          <w:iCs/>
          <w:sz w:val="18"/>
          <w:szCs w:val="18"/>
        </w:rPr>
        <w:t>-</w:t>
      </w:r>
      <w:r w:rsidR="00294CEA">
        <w:rPr>
          <w:rFonts w:ascii="Verdana" w:hAnsi="Verdana"/>
          <w:iCs/>
          <w:sz w:val="18"/>
          <w:szCs w:val="18"/>
        </w:rPr>
        <w:t>diensten weg</w:t>
      </w:r>
      <w:r w:rsidR="00DF29AD">
        <w:rPr>
          <w:rFonts w:ascii="Verdana" w:hAnsi="Verdana"/>
          <w:iCs/>
          <w:sz w:val="18"/>
          <w:szCs w:val="18"/>
        </w:rPr>
        <w:t xml:space="preserve"> te nemen</w:t>
      </w:r>
      <w:r w:rsidR="00294CEA">
        <w:rPr>
          <w:rFonts w:ascii="Verdana" w:hAnsi="Verdana"/>
          <w:iCs/>
          <w:sz w:val="18"/>
          <w:szCs w:val="18"/>
        </w:rPr>
        <w:t xml:space="preserve">. Om die reden is optreden op het niveau van de EU gerechtvaardigd. </w:t>
      </w:r>
    </w:p>
    <w:p w:rsidRPr="009B3EED" w:rsidR="005552A7" w:rsidP="005552A7" w:rsidRDefault="005552A7" w14:paraId="5B3EA429" w14:textId="77777777">
      <w:pPr>
        <w:spacing w:line="360" w:lineRule="auto"/>
        <w:rPr>
          <w:rFonts w:ascii="Verdana" w:hAnsi="Verdana"/>
          <w:i/>
          <w:sz w:val="18"/>
          <w:szCs w:val="18"/>
        </w:rPr>
      </w:pPr>
    </w:p>
    <w:p w:rsidRPr="00372A30" w:rsidR="00AF6FBD" w:rsidP="00AF6FBD" w:rsidRDefault="00FD0CBD" w14:paraId="0D2CAD56" w14:textId="77777777">
      <w:pPr>
        <w:numPr>
          <w:ilvl w:val="0"/>
          <w:numId w:val="22"/>
        </w:numPr>
        <w:spacing w:line="360" w:lineRule="auto"/>
        <w:rPr>
          <w:rFonts w:ascii="Verdana" w:hAnsi="Verdana"/>
          <w:i/>
          <w:sz w:val="18"/>
          <w:szCs w:val="18"/>
        </w:rPr>
      </w:pPr>
      <w:r w:rsidRPr="009B3EED">
        <w:rPr>
          <w:rFonts w:ascii="Verdana" w:hAnsi="Verdana"/>
          <w:i/>
          <w:sz w:val="18"/>
          <w:szCs w:val="18"/>
        </w:rPr>
        <w:t>Proportionaliteit</w:t>
      </w:r>
    </w:p>
    <w:p w:rsidR="00665CB9" w:rsidP="00AF6FBD" w:rsidRDefault="00665CB9" w14:paraId="06027A10" w14:textId="77777777">
      <w:pPr>
        <w:spacing w:line="360" w:lineRule="auto"/>
        <w:rPr>
          <w:rFonts w:ascii="Verdana" w:hAnsi="Verdana"/>
          <w:iCs/>
          <w:sz w:val="18"/>
          <w:szCs w:val="18"/>
        </w:rPr>
      </w:pPr>
      <w:r>
        <w:rPr>
          <w:rFonts w:ascii="Verdana" w:hAnsi="Verdana"/>
          <w:iCs/>
          <w:sz w:val="18"/>
          <w:szCs w:val="18"/>
        </w:rPr>
        <w:t xml:space="preserve">De grondhouding van het kabinet is positief. De mededeling heeft tot doel het </w:t>
      </w:r>
      <w:r w:rsidRPr="004235AE">
        <w:rPr>
          <w:rFonts w:ascii="Verdana" w:hAnsi="Verdana"/>
          <w:iCs/>
          <w:sz w:val="18"/>
          <w:szCs w:val="18"/>
        </w:rPr>
        <w:t>tekort aan gekwalificeerd</w:t>
      </w:r>
      <w:r>
        <w:rPr>
          <w:rFonts w:ascii="Verdana" w:hAnsi="Verdana"/>
          <w:iCs/>
          <w:sz w:val="18"/>
          <w:szCs w:val="18"/>
        </w:rPr>
        <w:t>e</w:t>
      </w:r>
      <w:r w:rsidRPr="004235AE">
        <w:rPr>
          <w:rFonts w:ascii="Verdana" w:hAnsi="Verdana"/>
          <w:iCs/>
          <w:sz w:val="18"/>
          <w:szCs w:val="18"/>
        </w:rPr>
        <w:t xml:space="preserve"> cybersecurity</w:t>
      </w:r>
      <w:r>
        <w:rPr>
          <w:rFonts w:ascii="Verdana" w:hAnsi="Verdana"/>
          <w:iCs/>
          <w:sz w:val="18"/>
          <w:szCs w:val="18"/>
        </w:rPr>
        <w:t xml:space="preserve">professionals </w:t>
      </w:r>
      <w:r w:rsidRPr="004235AE">
        <w:rPr>
          <w:rFonts w:ascii="Verdana" w:hAnsi="Verdana"/>
          <w:iCs/>
          <w:sz w:val="18"/>
          <w:szCs w:val="18"/>
        </w:rPr>
        <w:t>op de Europese arbeidsmarkt</w:t>
      </w:r>
      <w:r>
        <w:rPr>
          <w:rFonts w:ascii="Verdana" w:hAnsi="Verdana"/>
          <w:iCs/>
          <w:sz w:val="18"/>
          <w:szCs w:val="18"/>
        </w:rPr>
        <w:t xml:space="preserve"> te verkleinen. Het </w:t>
      </w:r>
      <w:r w:rsidR="002C678C">
        <w:rPr>
          <w:rFonts w:ascii="Verdana" w:hAnsi="Verdana"/>
          <w:iCs/>
          <w:sz w:val="18"/>
          <w:szCs w:val="18"/>
        </w:rPr>
        <w:t xml:space="preserve">kabinet is van mening dat het </w:t>
      </w:r>
      <w:r w:rsidR="006E1C36">
        <w:rPr>
          <w:rFonts w:ascii="Verdana" w:hAnsi="Verdana"/>
          <w:iCs/>
          <w:sz w:val="18"/>
          <w:szCs w:val="18"/>
        </w:rPr>
        <w:t>opzetten van de Academie</w:t>
      </w:r>
      <w:r>
        <w:rPr>
          <w:rFonts w:ascii="Verdana" w:hAnsi="Verdana"/>
          <w:iCs/>
          <w:sz w:val="18"/>
          <w:szCs w:val="18"/>
        </w:rPr>
        <w:t xml:space="preserve"> een bijdrage </w:t>
      </w:r>
      <w:r w:rsidR="002C678C">
        <w:rPr>
          <w:rFonts w:ascii="Verdana" w:hAnsi="Verdana"/>
          <w:iCs/>
          <w:sz w:val="18"/>
          <w:szCs w:val="18"/>
        </w:rPr>
        <w:t xml:space="preserve">kan </w:t>
      </w:r>
      <w:r>
        <w:rPr>
          <w:rFonts w:ascii="Verdana" w:hAnsi="Verdana"/>
          <w:iCs/>
          <w:sz w:val="18"/>
          <w:szCs w:val="18"/>
        </w:rPr>
        <w:t>leveren aan het realiseren van deze doelstelling</w:t>
      </w:r>
      <w:r w:rsidR="006E1C36">
        <w:rPr>
          <w:rFonts w:ascii="Verdana" w:hAnsi="Verdana"/>
          <w:iCs/>
          <w:sz w:val="18"/>
          <w:szCs w:val="18"/>
        </w:rPr>
        <w:t xml:space="preserve"> omdat er op dit moment nog geen centrale plek is waar het aanbod van onderwijs, trainingen, certificaten en subsidies voor cybersecurityprofessionals centraal ontsloten wordt. </w:t>
      </w:r>
      <w:r w:rsidRPr="00F95935" w:rsidR="00373F99">
        <w:rPr>
          <w:rFonts w:ascii="Verdana" w:hAnsi="Verdana"/>
          <w:iCs/>
          <w:sz w:val="18"/>
          <w:szCs w:val="18"/>
        </w:rPr>
        <w:t>Daarmee is het voorgestelde optreden geschikt om de genoemde doelstelling te bereiken.</w:t>
      </w:r>
    </w:p>
    <w:p w:rsidR="006E1C36" w:rsidP="00AF6FBD" w:rsidRDefault="006E1C36" w14:paraId="281165AC" w14:textId="77777777">
      <w:pPr>
        <w:spacing w:line="360" w:lineRule="auto"/>
        <w:rPr>
          <w:rFonts w:ascii="Verdana" w:hAnsi="Verdana"/>
          <w:iCs/>
          <w:sz w:val="18"/>
          <w:szCs w:val="18"/>
        </w:rPr>
      </w:pPr>
    </w:p>
    <w:p w:rsidR="006E1C36" w:rsidP="00AF6FBD" w:rsidRDefault="001F0C62" w14:paraId="3E763141" w14:textId="77777777">
      <w:pPr>
        <w:spacing w:line="360" w:lineRule="auto"/>
        <w:rPr>
          <w:rFonts w:ascii="Verdana" w:hAnsi="Verdana"/>
          <w:iCs/>
          <w:sz w:val="18"/>
          <w:szCs w:val="18"/>
        </w:rPr>
      </w:pPr>
      <w:r>
        <w:rPr>
          <w:rFonts w:ascii="Verdana" w:hAnsi="Verdana"/>
          <w:iCs/>
          <w:sz w:val="18"/>
          <w:szCs w:val="18"/>
        </w:rPr>
        <w:t>Het kabinet meent echter dat het voorstel nog niet ver genoeg gaat om het beoogde doel te bereiken. M</w:t>
      </w:r>
      <w:r w:rsidR="006E1C36">
        <w:rPr>
          <w:rFonts w:ascii="Verdana" w:hAnsi="Verdana"/>
          <w:iCs/>
          <w:sz w:val="18"/>
          <w:szCs w:val="18"/>
        </w:rPr>
        <w:t xml:space="preserve">et de voorgestelde acties </w:t>
      </w:r>
      <w:r>
        <w:rPr>
          <w:rFonts w:ascii="Verdana" w:hAnsi="Verdana"/>
          <w:iCs/>
          <w:sz w:val="18"/>
          <w:szCs w:val="18"/>
        </w:rPr>
        <w:t xml:space="preserve">wordt </w:t>
      </w:r>
      <w:r w:rsidR="006E1C36">
        <w:rPr>
          <w:rFonts w:ascii="Verdana" w:hAnsi="Verdana"/>
          <w:iCs/>
          <w:sz w:val="18"/>
          <w:szCs w:val="18"/>
        </w:rPr>
        <w:t xml:space="preserve">slechts een eerste stap gezet om het aanbod van cybersecurityprofessionals daadwerkelijk toe te laten nemen. </w:t>
      </w:r>
      <w:r w:rsidR="002C678C">
        <w:rPr>
          <w:rFonts w:ascii="Verdana" w:hAnsi="Verdana"/>
          <w:iCs/>
          <w:sz w:val="18"/>
          <w:szCs w:val="18"/>
        </w:rPr>
        <w:t>Om positieve impact te kunnen maken op de digitale veiligheid van de EU zullen v</w:t>
      </w:r>
      <w:r w:rsidR="00647636">
        <w:rPr>
          <w:rFonts w:ascii="Verdana" w:hAnsi="Verdana"/>
          <w:iCs/>
          <w:sz w:val="18"/>
          <w:szCs w:val="18"/>
        </w:rPr>
        <w:t xml:space="preserve">ervolgacties nodig zijn. </w:t>
      </w:r>
    </w:p>
    <w:p w:rsidRPr="009B3EED" w:rsidR="00AF6FBD" w:rsidP="00AF6FBD" w:rsidRDefault="00AF6FBD" w14:paraId="574C662D" w14:textId="77777777">
      <w:pPr>
        <w:spacing w:line="360" w:lineRule="auto"/>
        <w:rPr>
          <w:rFonts w:ascii="Verdana" w:hAnsi="Verdana"/>
          <w:i/>
          <w:sz w:val="18"/>
          <w:szCs w:val="18"/>
        </w:rPr>
      </w:pPr>
    </w:p>
    <w:p w:rsidRPr="00372A30" w:rsidR="00AF6FBD" w:rsidP="00AF6FBD" w:rsidRDefault="00FD0CBD" w14:paraId="28F8A4D7" w14:textId="77777777">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00DB4EAD" w:rsidP="00AF6FBD" w:rsidRDefault="00DB4EAD" w14:paraId="65D8936F" w14:textId="77777777">
      <w:pPr>
        <w:spacing w:line="360" w:lineRule="auto"/>
        <w:rPr>
          <w:rFonts w:ascii="Verdana" w:hAnsi="Verdana"/>
          <w:sz w:val="18"/>
          <w:szCs w:val="18"/>
        </w:rPr>
      </w:pPr>
      <w:r>
        <w:rPr>
          <w:rFonts w:ascii="Verdana" w:hAnsi="Verdana"/>
          <w:iCs/>
          <w:sz w:val="18"/>
          <w:szCs w:val="18"/>
        </w:rPr>
        <w:t xml:space="preserve">De </w:t>
      </w:r>
      <w:r w:rsidR="004E390E">
        <w:rPr>
          <w:rFonts w:ascii="Verdana" w:hAnsi="Verdana"/>
          <w:iCs/>
          <w:sz w:val="18"/>
          <w:szCs w:val="18"/>
        </w:rPr>
        <w:t>kosten</w:t>
      </w:r>
      <w:r>
        <w:rPr>
          <w:rFonts w:ascii="Verdana" w:hAnsi="Verdana"/>
          <w:iCs/>
          <w:sz w:val="18"/>
          <w:szCs w:val="18"/>
        </w:rPr>
        <w:t xml:space="preserve"> voor het opzetten en implementeren van de Academie betreffen EUR 10mln </w:t>
      </w:r>
      <w:r w:rsidR="007516F5">
        <w:rPr>
          <w:rFonts w:ascii="Verdana" w:hAnsi="Verdana"/>
          <w:iCs/>
          <w:sz w:val="18"/>
          <w:szCs w:val="18"/>
        </w:rPr>
        <w:t>voo</w:t>
      </w:r>
      <w:r w:rsidR="00D0782F">
        <w:rPr>
          <w:rFonts w:ascii="Verdana" w:hAnsi="Verdana"/>
          <w:iCs/>
          <w:sz w:val="18"/>
          <w:szCs w:val="18"/>
        </w:rPr>
        <w:t>r</w:t>
      </w:r>
      <w:r w:rsidR="007516F5">
        <w:rPr>
          <w:rFonts w:ascii="Verdana" w:hAnsi="Verdana"/>
          <w:iCs/>
          <w:sz w:val="18"/>
          <w:szCs w:val="18"/>
        </w:rPr>
        <w:t xml:space="preserve"> 36 maanden</w:t>
      </w:r>
      <w:r w:rsidR="00D0782F">
        <w:rPr>
          <w:rFonts w:ascii="Verdana" w:hAnsi="Verdana"/>
          <w:iCs/>
          <w:sz w:val="18"/>
          <w:szCs w:val="18"/>
        </w:rPr>
        <w:t xml:space="preserve"> vanaf de start van het project</w:t>
      </w:r>
      <w:r w:rsidR="004E390E">
        <w:rPr>
          <w:rFonts w:ascii="Verdana" w:hAnsi="Verdana"/>
          <w:iCs/>
          <w:sz w:val="18"/>
          <w:szCs w:val="18"/>
        </w:rPr>
        <w:t>. Dit bedrag wordt beschikbaar</w:t>
      </w:r>
      <w:r w:rsidR="007516F5">
        <w:rPr>
          <w:rFonts w:ascii="Verdana" w:hAnsi="Verdana"/>
          <w:iCs/>
          <w:sz w:val="18"/>
          <w:szCs w:val="18"/>
        </w:rPr>
        <w:t xml:space="preserve"> </w:t>
      </w:r>
      <w:r w:rsidR="004E390E">
        <w:rPr>
          <w:rFonts w:ascii="Verdana" w:hAnsi="Verdana"/>
          <w:iCs/>
          <w:sz w:val="18"/>
          <w:szCs w:val="18"/>
        </w:rPr>
        <w:t xml:space="preserve">gemaakt </w:t>
      </w:r>
      <w:r>
        <w:rPr>
          <w:rFonts w:ascii="Verdana" w:hAnsi="Verdana"/>
          <w:iCs/>
          <w:sz w:val="18"/>
          <w:szCs w:val="18"/>
        </w:rPr>
        <w:t>vanuit het ‘</w:t>
      </w:r>
      <w:r>
        <w:rPr>
          <w:rFonts w:ascii="Verdana" w:hAnsi="Verdana"/>
          <w:sz w:val="18"/>
          <w:szCs w:val="18"/>
        </w:rPr>
        <w:t>Advanced Digital Skills’ onderdeel van het Digital Europe Programma (werkprogramma 2023-2024)</w:t>
      </w:r>
      <w:r w:rsidR="004E390E">
        <w:rPr>
          <w:rFonts w:ascii="Verdana" w:hAnsi="Verdana"/>
          <w:sz w:val="18"/>
          <w:szCs w:val="18"/>
        </w:rPr>
        <w:t xml:space="preserve"> via een subsidieconstructie (</w:t>
      </w:r>
      <w:r w:rsidR="004E390E">
        <w:rPr>
          <w:rFonts w:ascii="Verdana" w:hAnsi="Verdana"/>
          <w:i/>
          <w:iCs/>
          <w:sz w:val="18"/>
          <w:szCs w:val="18"/>
        </w:rPr>
        <w:t>simple grant</w:t>
      </w:r>
      <w:r w:rsidR="004E390E">
        <w:rPr>
          <w:rFonts w:ascii="Verdana" w:hAnsi="Verdana"/>
          <w:sz w:val="18"/>
          <w:szCs w:val="18"/>
        </w:rPr>
        <w:t>)</w:t>
      </w:r>
      <w:r>
        <w:rPr>
          <w:rFonts w:ascii="Verdana" w:hAnsi="Verdana"/>
          <w:sz w:val="18"/>
          <w:szCs w:val="18"/>
        </w:rPr>
        <w:t xml:space="preserve">. </w:t>
      </w:r>
      <w:r w:rsidRPr="00C53116" w:rsidR="00BB5A89">
        <w:rPr>
          <w:rFonts w:ascii="Verdana" w:hAnsi="Verdana"/>
          <w:sz w:val="18"/>
          <w:szCs w:val="18"/>
        </w:rPr>
        <w:t>Nederland is van mening dat de benodigde EU-middelen gevonden dienen te worden binnen de in de Raad afgesproken financiële kaders van de EU-begroting 20</w:t>
      </w:r>
      <w:r w:rsidR="00BB5A89">
        <w:rPr>
          <w:rFonts w:ascii="Verdana" w:hAnsi="Verdana"/>
          <w:sz w:val="18"/>
          <w:szCs w:val="18"/>
        </w:rPr>
        <w:t>21</w:t>
      </w:r>
      <w:r w:rsidRPr="00C53116" w:rsidR="00BB5A89">
        <w:rPr>
          <w:rFonts w:ascii="Verdana" w:hAnsi="Verdana"/>
          <w:sz w:val="18"/>
          <w:szCs w:val="18"/>
        </w:rPr>
        <w:t>-202</w:t>
      </w:r>
      <w:r w:rsidR="00BB5A89">
        <w:rPr>
          <w:rFonts w:ascii="Verdana" w:hAnsi="Verdana"/>
          <w:sz w:val="18"/>
          <w:szCs w:val="18"/>
        </w:rPr>
        <w:t>7</w:t>
      </w:r>
      <w:r w:rsidRPr="00C53116" w:rsidR="00BB5A89">
        <w:rPr>
          <w:rFonts w:ascii="Verdana" w:hAnsi="Verdana"/>
          <w:sz w:val="18"/>
          <w:szCs w:val="18"/>
        </w:rPr>
        <w:t xml:space="preserve"> en dat deze moeten passen bij een prudente ontwikkeling van de </w:t>
      </w:r>
      <w:r w:rsidRPr="00C53116" w:rsidR="00BB5A89">
        <w:rPr>
          <w:rFonts w:ascii="Verdana" w:hAnsi="Verdana"/>
          <w:sz w:val="18"/>
          <w:szCs w:val="18"/>
        </w:rPr>
        <w:lastRenderedPageBreak/>
        <w:t>jaarbegroting</w:t>
      </w:r>
      <w:r w:rsidR="00BB5A89">
        <w:rPr>
          <w:rFonts w:ascii="Verdana" w:hAnsi="Verdana"/>
          <w:sz w:val="18"/>
          <w:szCs w:val="18"/>
        </w:rPr>
        <w:t>.</w:t>
      </w:r>
      <w:r w:rsidR="004E390E">
        <w:rPr>
          <w:rFonts w:ascii="Verdana" w:hAnsi="Verdana"/>
          <w:sz w:val="18"/>
          <w:szCs w:val="18"/>
        </w:rPr>
        <w:t xml:space="preserve"> De subsidiabele kosten voor een eventueel geïnteresseerd consortium (met daarin ten minste drie lidstaten) bedragen 50% van het totaal aan gemaakte kosten tijdens de opzet en implementatie van de Academie. </w:t>
      </w:r>
    </w:p>
    <w:p w:rsidR="00F80C9D" w:rsidP="00AF6FBD" w:rsidRDefault="00F80C9D" w14:paraId="409D0688" w14:textId="77777777">
      <w:pPr>
        <w:spacing w:line="360" w:lineRule="auto"/>
        <w:rPr>
          <w:rFonts w:ascii="Verdana" w:hAnsi="Verdana"/>
          <w:sz w:val="18"/>
          <w:szCs w:val="18"/>
        </w:rPr>
      </w:pPr>
    </w:p>
    <w:p w:rsidR="00DB4EAD" w:rsidP="00AF6FBD" w:rsidRDefault="00F80C9D" w14:paraId="631056E3" w14:textId="77777777">
      <w:pPr>
        <w:spacing w:line="360" w:lineRule="auto"/>
        <w:rPr>
          <w:rFonts w:ascii="Verdana" w:hAnsi="Verdana"/>
          <w:iCs/>
          <w:sz w:val="18"/>
          <w:szCs w:val="18"/>
        </w:rPr>
      </w:pPr>
      <w:r>
        <w:rPr>
          <w:rFonts w:ascii="Verdana" w:hAnsi="Verdana"/>
          <w:sz w:val="18"/>
          <w:szCs w:val="18"/>
        </w:rPr>
        <w:t xml:space="preserve">Met het opzetten en implementeren van de Academie wordt ook een beroep gedaan om deelname vanuit de lidstaten aan één of meerdere </w:t>
      </w:r>
      <w:r>
        <w:rPr>
          <w:rFonts w:ascii="Verdana" w:hAnsi="Verdana"/>
          <w:i/>
          <w:iCs/>
          <w:sz w:val="18"/>
          <w:szCs w:val="18"/>
        </w:rPr>
        <w:t xml:space="preserve">Multi-country Projects </w:t>
      </w:r>
      <w:r>
        <w:rPr>
          <w:rFonts w:ascii="Verdana" w:hAnsi="Verdana"/>
          <w:sz w:val="18"/>
          <w:szCs w:val="18"/>
        </w:rPr>
        <w:t xml:space="preserve">onder het EDIC-instrument, én op de NCC’s die onder het ECCC vallen. Afhankelijk van de Nederlandse inzet op een eventuele EDIC en de additionele taken die bovenop het bestaande werk van het NCC komen kunnen er </w:t>
      </w:r>
      <w:r w:rsidR="007365BD">
        <w:rPr>
          <w:rFonts w:ascii="Verdana" w:hAnsi="Verdana"/>
          <w:sz w:val="18"/>
          <w:szCs w:val="18"/>
        </w:rPr>
        <w:t xml:space="preserve">beperkte </w:t>
      </w:r>
      <w:r>
        <w:rPr>
          <w:rFonts w:ascii="Verdana" w:hAnsi="Verdana"/>
          <w:sz w:val="18"/>
          <w:szCs w:val="18"/>
        </w:rPr>
        <w:t xml:space="preserve">budgettaire gevolgen zijn voor de nationale begroting. </w:t>
      </w:r>
      <w:r w:rsidRPr="00DB4EAD" w:rsidR="00DB4EAD">
        <w:rPr>
          <w:rFonts w:ascii="Verdana" w:hAnsi="Verdana"/>
          <w:sz w:val="18"/>
          <w:szCs w:val="18"/>
        </w:rPr>
        <w:t>Eventuele budgettaire gevolgen worden ingepast op de begroting van de beleidsverantwoordelijke departementen, conform de regels van de budgetdiscipline.</w:t>
      </w:r>
    </w:p>
    <w:p w:rsidRPr="009B3EED" w:rsidR="00AF6FBD" w:rsidP="00AF6FBD" w:rsidRDefault="00AF6FBD" w14:paraId="04E2273F" w14:textId="77777777">
      <w:pPr>
        <w:spacing w:line="360" w:lineRule="auto"/>
        <w:rPr>
          <w:rFonts w:ascii="Verdana" w:hAnsi="Verdana"/>
          <w:i/>
          <w:sz w:val="18"/>
          <w:szCs w:val="18"/>
        </w:rPr>
      </w:pPr>
    </w:p>
    <w:p w:rsidRPr="00372A30" w:rsidR="00237359" w:rsidP="00237359" w:rsidRDefault="006810FB" w14:paraId="73085B20"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bookmarkEnd w:id="0"/>
    </w:p>
    <w:p w:rsidR="00AF1340" w:rsidP="00237359" w:rsidRDefault="00237359" w14:paraId="229CC028" w14:textId="77777777">
      <w:pPr>
        <w:tabs>
          <w:tab w:val="left" w:pos="360"/>
          <w:tab w:val="left" w:pos="4500"/>
          <w:tab w:val="left" w:pos="5580"/>
        </w:tabs>
        <w:spacing w:line="360" w:lineRule="auto"/>
        <w:rPr>
          <w:rFonts w:ascii="Verdana" w:hAnsi="Verdana"/>
          <w:bCs/>
          <w:sz w:val="18"/>
          <w:szCs w:val="18"/>
        </w:rPr>
      </w:pPr>
      <w:r>
        <w:rPr>
          <w:rFonts w:ascii="Verdana" w:hAnsi="Verdana"/>
          <w:bCs/>
          <w:sz w:val="18"/>
          <w:szCs w:val="18"/>
        </w:rPr>
        <w:t xml:space="preserve">Omdat het een mededeling betreft volgt er geen directe regeldruk uit </w:t>
      </w:r>
      <w:r w:rsidR="00AF1340">
        <w:rPr>
          <w:rFonts w:ascii="Verdana" w:hAnsi="Verdana"/>
          <w:bCs/>
          <w:sz w:val="18"/>
          <w:szCs w:val="18"/>
        </w:rPr>
        <w:t xml:space="preserve">het initiatief van de Commissie. Er volgen ook geen directe verplichtingen voor bedrijven uit. Punt van aandacht is wel dat </w:t>
      </w:r>
      <w:r>
        <w:rPr>
          <w:rFonts w:ascii="Verdana" w:hAnsi="Verdana"/>
          <w:bCs/>
          <w:sz w:val="18"/>
          <w:szCs w:val="18"/>
        </w:rPr>
        <w:t xml:space="preserve">via het </w:t>
      </w:r>
      <w:r>
        <w:rPr>
          <w:rFonts w:ascii="Verdana" w:hAnsi="Verdana"/>
          <w:bCs/>
          <w:i/>
          <w:iCs/>
          <w:sz w:val="18"/>
          <w:szCs w:val="18"/>
        </w:rPr>
        <w:t xml:space="preserve">Digital Skills and Jobs Platform </w:t>
      </w:r>
      <w:r w:rsidRPr="00455A9B">
        <w:rPr>
          <w:rFonts w:ascii="Verdana" w:hAnsi="Verdana"/>
          <w:bCs/>
          <w:sz w:val="18"/>
          <w:szCs w:val="18"/>
        </w:rPr>
        <w:t xml:space="preserve">industriepartijen </w:t>
      </w:r>
      <w:r>
        <w:rPr>
          <w:rFonts w:ascii="Verdana" w:hAnsi="Verdana"/>
          <w:bCs/>
          <w:sz w:val="18"/>
          <w:szCs w:val="18"/>
        </w:rPr>
        <w:t xml:space="preserve">hun betrokkenheid </w:t>
      </w:r>
      <w:r w:rsidR="00AF1340">
        <w:rPr>
          <w:rFonts w:ascii="Verdana" w:hAnsi="Verdana"/>
          <w:bCs/>
          <w:sz w:val="18"/>
          <w:szCs w:val="18"/>
        </w:rPr>
        <w:t>kunnen</w:t>
      </w:r>
      <w:r>
        <w:rPr>
          <w:rFonts w:ascii="Verdana" w:hAnsi="Verdana"/>
          <w:bCs/>
          <w:sz w:val="18"/>
          <w:szCs w:val="18"/>
        </w:rPr>
        <w:t xml:space="preserve"> vastleggen om </w:t>
      </w:r>
      <w:r w:rsidR="00AF1340">
        <w:rPr>
          <w:rFonts w:ascii="Verdana" w:hAnsi="Verdana"/>
          <w:bCs/>
          <w:sz w:val="18"/>
          <w:szCs w:val="18"/>
        </w:rPr>
        <w:t>cybersecurity</w:t>
      </w:r>
      <w:r>
        <w:rPr>
          <w:rFonts w:ascii="Verdana" w:hAnsi="Verdana"/>
          <w:bCs/>
          <w:sz w:val="18"/>
          <w:szCs w:val="18"/>
        </w:rPr>
        <w:t xml:space="preserve">personeel om- en/of bij- te scholen. </w:t>
      </w:r>
      <w:r w:rsidR="00AF1340">
        <w:rPr>
          <w:rFonts w:ascii="Verdana" w:hAnsi="Verdana"/>
          <w:bCs/>
          <w:sz w:val="18"/>
          <w:szCs w:val="18"/>
        </w:rPr>
        <w:t xml:space="preserve">Ook wordt door de Commissie van lidstaten verwacht dat ze samen met de industrie vrouwen aanmoedigen een actieve rol te spelen in de digitale technologie sector en de </w:t>
      </w:r>
      <w:r w:rsidR="00AF1340">
        <w:rPr>
          <w:rFonts w:ascii="Verdana" w:hAnsi="Verdana"/>
          <w:bCs/>
          <w:i/>
          <w:iCs/>
          <w:sz w:val="18"/>
          <w:szCs w:val="18"/>
        </w:rPr>
        <w:t xml:space="preserve">Women in Digital </w:t>
      </w:r>
      <w:r w:rsidR="00AF1340">
        <w:rPr>
          <w:rFonts w:ascii="Verdana" w:hAnsi="Verdana"/>
          <w:bCs/>
          <w:sz w:val="18"/>
          <w:szCs w:val="18"/>
        </w:rPr>
        <w:t>declaratie implementeren. Ten slotte wordt via de NCC’s een bepaalde betrokkenheid van private partijen verwacht met betrekking tot het aandragen van initiatieven om het tekort aan gekwalificeerd cybersecuritypersoneel te verkleinen en het opzetten van een model om de impact van publiek beleid te meten en te monitoren.</w:t>
      </w:r>
      <w:r w:rsidR="00385750">
        <w:rPr>
          <w:rFonts w:ascii="Verdana" w:hAnsi="Verdana"/>
          <w:bCs/>
          <w:sz w:val="18"/>
          <w:szCs w:val="18"/>
        </w:rPr>
        <w:t xml:space="preserve"> Dit valt in principe binnen de taakstelling van de NCC’s.</w:t>
      </w:r>
      <w:r w:rsidR="002E1E1F">
        <w:rPr>
          <w:rFonts w:ascii="Verdana" w:hAnsi="Verdana"/>
          <w:bCs/>
          <w:sz w:val="18"/>
          <w:szCs w:val="18"/>
        </w:rPr>
        <w:t xml:space="preserve"> </w:t>
      </w:r>
      <w:r>
        <w:rPr>
          <w:rFonts w:ascii="Verdana" w:hAnsi="Verdana"/>
          <w:bCs/>
          <w:sz w:val="18"/>
          <w:szCs w:val="18"/>
        </w:rPr>
        <w:t xml:space="preserve">Op grond van deze voorstellen verwacht </w:t>
      </w:r>
      <w:r w:rsidR="00AF1340">
        <w:rPr>
          <w:rFonts w:ascii="Verdana" w:hAnsi="Verdana"/>
          <w:bCs/>
          <w:sz w:val="18"/>
          <w:szCs w:val="18"/>
        </w:rPr>
        <w:t>het kabinet</w:t>
      </w:r>
      <w:r>
        <w:rPr>
          <w:rFonts w:ascii="Verdana" w:hAnsi="Verdana"/>
          <w:bCs/>
          <w:sz w:val="18"/>
          <w:szCs w:val="18"/>
        </w:rPr>
        <w:t xml:space="preserve"> dat de voortvloeiende bepalingen wel regeldruk </w:t>
      </w:r>
      <w:r w:rsidR="00AF1340">
        <w:rPr>
          <w:rFonts w:ascii="Verdana" w:hAnsi="Verdana"/>
          <w:bCs/>
          <w:sz w:val="18"/>
          <w:szCs w:val="18"/>
        </w:rPr>
        <w:t xml:space="preserve">zullen </w:t>
      </w:r>
      <w:r>
        <w:rPr>
          <w:rFonts w:ascii="Verdana" w:hAnsi="Verdana"/>
          <w:bCs/>
          <w:sz w:val="18"/>
          <w:szCs w:val="18"/>
        </w:rPr>
        <w:t xml:space="preserve">opleveren. </w:t>
      </w:r>
    </w:p>
    <w:p w:rsidR="002E1E1F" w:rsidP="00237359" w:rsidRDefault="002E1E1F" w14:paraId="728476CD" w14:textId="77777777">
      <w:pPr>
        <w:tabs>
          <w:tab w:val="left" w:pos="360"/>
          <w:tab w:val="left" w:pos="4500"/>
          <w:tab w:val="left" w:pos="5580"/>
        </w:tabs>
        <w:spacing w:line="360" w:lineRule="auto"/>
        <w:rPr>
          <w:rFonts w:ascii="Verdana" w:hAnsi="Verdana"/>
          <w:bCs/>
          <w:sz w:val="18"/>
          <w:szCs w:val="18"/>
        </w:rPr>
      </w:pPr>
    </w:p>
    <w:p w:rsidRPr="002E1E1F" w:rsidR="00664827" w:rsidP="002E1E1F" w:rsidRDefault="007365BD" w14:paraId="5ECE801F" w14:textId="77777777">
      <w:pPr>
        <w:tabs>
          <w:tab w:val="left" w:pos="360"/>
          <w:tab w:val="left" w:pos="4500"/>
          <w:tab w:val="left" w:pos="5580"/>
        </w:tabs>
        <w:spacing w:line="360" w:lineRule="auto"/>
        <w:rPr>
          <w:rFonts w:ascii="Verdana" w:hAnsi="Verdana"/>
          <w:bCs/>
          <w:sz w:val="18"/>
          <w:szCs w:val="18"/>
        </w:rPr>
      </w:pPr>
      <w:r>
        <w:rPr>
          <w:rFonts w:ascii="Verdana" w:hAnsi="Verdana"/>
          <w:bCs/>
          <w:sz w:val="18"/>
          <w:szCs w:val="18"/>
        </w:rPr>
        <w:t xml:space="preserve">Om digitaal weerbaar te blijven heeft de EU voldoende gekwalificeerd cybersecuritypersoneel nodig. </w:t>
      </w:r>
      <w:r w:rsidR="002E1E1F">
        <w:rPr>
          <w:rFonts w:ascii="Verdana" w:hAnsi="Verdana"/>
          <w:bCs/>
          <w:sz w:val="18"/>
          <w:szCs w:val="18"/>
        </w:rPr>
        <w:t xml:space="preserve">Een toename in gekwalificeerd cybersecuritypersoneel zal op de middellange termijn naar verwachting een toename in de digitale veiligheid van in de EU geproduceerde producten en diensten teweeg brengen. </w:t>
      </w:r>
      <w:r w:rsidRPr="008B46D3" w:rsidR="008B46D3">
        <w:rPr>
          <w:rFonts w:ascii="Verdana" w:hAnsi="Verdana"/>
          <w:bCs/>
          <w:sz w:val="18"/>
          <w:szCs w:val="18"/>
        </w:rPr>
        <w:t xml:space="preserve">Dit stelt de EU in staat wereldwijd een sterkere positie in het digitale domein in te nemen. </w:t>
      </w:r>
      <w:r>
        <w:rPr>
          <w:rFonts w:ascii="Verdana" w:hAnsi="Verdana"/>
          <w:bCs/>
          <w:sz w:val="18"/>
          <w:szCs w:val="18"/>
        </w:rPr>
        <w:t xml:space="preserve">Daarmee </w:t>
      </w:r>
      <w:r w:rsidRPr="007F7321">
        <w:rPr>
          <w:rFonts w:ascii="Verdana" w:hAnsi="Verdana"/>
          <w:bCs/>
          <w:sz w:val="18"/>
          <w:szCs w:val="18"/>
        </w:rPr>
        <w:t>behoudt de EU ook een open economie en een platform voor samenwerking met internationale partners.</w:t>
      </w:r>
      <w:r>
        <w:rPr>
          <w:rFonts w:ascii="Verdana" w:hAnsi="Verdana"/>
          <w:bCs/>
          <w:sz w:val="18"/>
          <w:szCs w:val="18"/>
        </w:rPr>
        <w:t xml:space="preserve"> Als belangrijke schakel in verschillende wereldwijde import- export- en productieketens is het essentieel dat er genoeg personeel beschikbaar is om de digitale veiligheid van de EU op peil te houden. Tegelijkertijd stelt een gezonde cybersecurity arbeidsmarkt de EU in staat een concurrentiepositie in te nemen ten opzichte van derde landen en wordt ongewenste afhankelijkheid van deze partijen voorkomen. Volgen</w:t>
      </w:r>
      <w:r w:rsidR="00823221">
        <w:rPr>
          <w:rFonts w:ascii="Verdana" w:hAnsi="Verdana"/>
          <w:bCs/>
          <w:sz w:val="18"/>
          <w:szCs w:val="18"/>
        </w:rPr>
        <w:t>s</w:t>
      </w:r>
      <w:r>
        <w:rPr>
          <w:rFonts w:ascii="Verdana" w:hAnsi="Verdana"/>
          <w:bCs/>
          <w:sz w:val="18"/>
          <w:szCs w:val="18"/>
        </w:rPr>
        <w:t xml:space="preserve"> het kabinet kan de Academie een bijdrage leveren aan deze ontwikkelingen.   </w:t>
      </w:r>
    </w:p>
    <w:sectPr w:rsidRPr="002E1E1F" w:rsidR="00664827" w:rsidSect="00862967">
      <w:footerReference w:type="even" r:id="rId13"/>
      <w:footerReference w:type="default" r:id="rId14"/>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1D19" w14:textId="77777777" w:rsidR="00261B18" w:rsidRDefault="00261B18">
      <w:r>
        <w:separator/>
      </w:r>
    </w:p>
  </w:endnote>
  <w:endnote w:type="continuationSeparator" w:id="0">
    <w:p w14:paraId="41A79008" w14:textId="77777777" w:rsidR="00261B18" w:rsidRDefault="002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9B8"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D00C206"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EF21" w14:textId="77777777" w:rsidR="00F54AFF" w:rsidRDefault="00F54AFF">
    <w:pPr>
      <w:pStyle w:val="Voettekst"/>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E740" w14:textId="77777777" w:rsidR="00261B18" w:rsidRDefault="00261B18">
      <w:r>
        <w:separator/>
      </w:r>
    </w:p>
  </w:footnote>
  <w:footnote w:type="continuationSeparator" w:id="0">
    <w:p w14:paraId="4991EF23" w14:textId="77777777" w:rsidR="00261B18" w:rsidRDefault="00261B18">
      <w:r>
        <w:continuationSeparator/>
      </w:r>
    </w:p>
  </w:footnote>
  <w:footnote w:id="1">
    <w:p w14:paraId="3A57AFC4" w14:textId="77777777" w:rsidR="005D3ACC" w:rsidRPr="005D3ACC" w:rsidRDefault="005D3ACC">
      <w:pPr>
        <w:pStyle w:val="Voetnoottekst"/>
        <w:rPr>
          <w:lang w:val="en-US"/>
        </w:rPr>
      </w:pPr>
      <w:r>
        <w:rPr>
          <w:rStyle w:val="Voetnootmarkering"/>
        </w:rPr>
        <w:footnoteRef/>
      </w:r>
      <w:r w:rsidRPr="005D3ACC">
        <w:rPr>
          <w:lang w:val="en-US"/>
        </w:rPr>
        <w:t xml:space="preserve"> </w:t>
      </w:r>
      <w:hyperlink r:id="rId1" w:history="1">
        <w:r w:rsidRPr="005D3ACC">
          <w:rPr>
            <w:rStyle w:val="Hyperlink"/>
            <w:lang w:val="en-US"/>
          </w:rPr>
          <w:t>Proposed Regulation on the Cyber Solidarity Act | Shaping Europe’s digital future (europa.eu)</w:t>
        </w:r>
      </w:hyperlink>
    </w:p>
  </w:footnote>
  <w:footnote w:id="2">
    <w:p w14:paraId="50FED555" w14:textId="77777777" w:rsidR="005D3ACC" w:rsidRPr="00D757DE" w:rsidRDefault="005D3ACC">
      <w:pPr>
        <w:pStyle w:val="Voetnoottekst"/>
      </w:pPr>
      <w:r>
        <w:rPr>
          <w:rStyle w:val="Voetnootmarkering"/>
        </w:rPr>
        <w:footnoteRef/>
      </w:r>
      <w:r w:rsidRPr="005D3ACC">
        <w:rPr>
          <w:lang w:val="en-US"/>
        </w:rPr>
        <w:t xml:space="preserve"> </w:t>
      </w:r>
      <w:hyperlink r:id="rId2" w:history="1">
        <w:r w:rsidRPr="005D3ACC">
          <w:rPr>
            <w:rStyle w:val="Hyperlink"/>
            <w:lang w:val="en-US"/>
          </w:rPr>
          <w:t xml:space="preserve">Proposed Regulation on ‘managed security services’ amendment. </w:t>
        </w:r>
        <w:r w:rsidRPr="00D757DE">
          <w:rPr>
            <w:rStyle w:val="Hyperlink"/>
          </w:rPr>
          <w:t>| Shaping Europe’s digital future (europa.eu)</w:t>
        </w:r>
      </w:hyperlink>
    </w:p>
  </w:footnote>
  <w:footnote w:id="3">
    <w:p w14:paraId="5B4B03A1" w14:textId="77777777" w:rsidR="00941923" w:rsidRDefault="00941923" w:rsidP="00204089">
      <w:pPr>
        <w:pStyle w:val="Voetnoottekst"/>
      </w:pPr>
      <w:r>
        <w:rPr>
          <w:rStyle w:val="Voetnootmarkering"/>
        </w:rPr>
        <w:footnoteRef/>
      </w:r>
      <w:r>
        <w:t xml:space="preserve"> </w:t>
      </w:r>
      <w:r w:rsidR="00204089" w:rsidRPr="00941923">
        <w:t xml:space="preserve">Uit een eerder voorstel van de CIE: </w:t>
      </w:r>
      <w:r w:rsidR="00204089">
        <w:t xml:space="preserve">AANBEVELING VAN DE RAAD betreffende een Europese benadering van </w:t>
      </w:r>
      <w:r w:rsidR="00204089" w:rsidRPr="00665CB9">
        <w:rPr>
          <w:i/>
          <w:iCs/>
        </w:rPr>
        <w:t>microcredentials</w:t>
      </w:r>
      <w:r w:rsidR="00204089">
        <w:t xml:space="preserve"> voor een leven lang leren en inzetbaarheid op de arbeidsmarkt</w:t>
      </w:r>
      <w:r w:rsidR="00204089" w:rsidRPr="00941923">
        <w:t xml:space="preserve"> </w:t>
      </w:r>
      <w:r w:rsidR="00204089">
        <w:t>(</w:t>
      </w:r>
      <w:hyperlink r:id="rId3" w:history="1">
        <w:r w:rsidR="00204089" w:rsidRPr="00941923">
          <w:rPr>
            <w:rStyle w:val="Hyperlink"/>
            <w:szCs w:val="16"/>
          </w:rPr>
          <w:t>pdf (europa.eu)</w:t>
        </w:r>
      </w:hyperlink>
      <w:r w:rsidR="00204089">
        <w:t>)</w:t>
      </w:r>
    </w:p>
  </w:footnote>
  <w:footnote w:id="4">
    <w:p w14:paraId="67D72AF3" w14:textId="77777777" w:rsidR="00130E6E" w:rsidRPr="0059549E" w:rsidRDefault="00130E6E">
      <w:pPr>
        <w:pStyle w:val="Voetnoottekst"/>
        <w:rPr>
          <w:lang w:val="en-US"/>
        </w:rPr>
      </w:pPr>
      <w:r>
        <w:rPr>
          <w:rStyle w:val="Voetnootmarkering"/>
        </w:rPr>
        <w:footnoteRef/>
      </w:r>
      <w:r w:rsidRPr="0059549E">
        <w:rPr>
          <w:lang w:val="en-US"/>
        </w:rPr>
        <w:t xml:space="preserve"> Declaration</w:t>
      </w:r>
      <w:r w:rsidRPr="00130E6E">
        <w:rPr>
          <w:lang w:val="en-US"/>
        </w:rPr>
        <w:t>:</w:t>
      </w:r>
      <w:r w:rsidRPr="0059549E">
        <w:rPr>
          <w:lang w:val="en-US"/>
        </w:rPr>
        <w:t xml:space="preserve"> </w:t>
      </w:r>
      <w:r w:rsidRPr="0059549E">
        <w:rPr>
          <w:i/>
          <w:iCs/>
          <w:lang w:val="en-US"/>
        </w:rPr>
        <w:t>Commitment on women in digital</w:t>
      </w:r>
      <w:r w:rsidRPr="00130E6E">
        <w:rPr>
          <w:lang w:val="en-US"/>
        </w:rPr>
        <w:t>, in 2019 door NL onderteken</w:t>
      </w:r>
      <w:r w:rsidRPr="0059549E">
        <w:rPr>
          <w:lang w:val="en-US"/>
        </w:rPr>
        <w:t>d samen met 25 andere lidstaten (</w:t>
      </w:r>
      <w:hyperlink r:id="rId4" w:history="1">
        <w:r w:rsidRPr="0059549E">
          <w:rPr>
            <w:rStyle w:val="Hyperlink"/>
            <w:lang w:val="en-US"/>
          </w:rPr>
          <w:t>EU countries commit to boost participation of women in digital | Shaping Europe’s digital future (europa.eu)</w:t>
        </w:r>
      </w:hyperlink>
      <w:r w:rsidRPr="0059549E">
        <w:rPr>
          <w:lang w:val="en-US"/>
        </w:rPr>
        <w:t>)</w:t>
      </w:r>
    </w:p>
  </w:footnote>
  <w:footnote w:id="5">
    <w:p w14:paraId="4497A8F5" w14:textId="77777777" w:rsidR="00941923" w:rsidRPr="00613DD0" w:rsidRDefault="00941923">
      <w:pPr>
        <w:pStyle w:val="Voetnoottekst"/>
      </w:pPr>
      <w:r>
        <w:rPr>
          <w:rStyle w:val="Voetnootmarkering"/>
        </w:rPr>
        <w:footnoteRef/>
      </w:r>
      <w:r w:rsidRPr="00941923">
        <w:rPr>
          <w:szCs w:val="16"/>
        </w:rPr>
        <w:t xml:space="preserve"> De index voor digitale economie en samenleving (DESI) </w:t>
      </w:r>
      <w:r w:rsidR="00613DD0" w:rsidRPr="00613DD0">
        <w:rPr>
          <w:szCs w:val="16"/>
        </w:rPr>
        <w:t xml:space="preserve">meet en vergelijkt de prestaties van </w:t>
      </w:r>
      <w:r w:rsidR="00613DD0">
        <w:rPr>
          <w:szCs w:val="16"/>
        </w:rPr>
        <w:t>EU-</w:t>
      </w:r>
      <w:r w:rsidR="00613DD0" w:rsidRPr="00613DD0">
        <w:rPr>
          <w:szCs w:val="16"/>
        </w:rPr>
        <w:t>lidstaten op het vlak van de digitale economie en samenleving.</w:t>
      </w:r>
      <w:r w:rsidR="00613DD0">
        <w:rPr>
          <w:szCs w:val="16"/>
        </w:rPr>
        <w:t xml:space="preserve"> Het </w:t>
      </w:r>
      <w:r w:rsidR="00613DD0">
        <w:rPr>
          <w:i/>
          <w:iCs/>
          <w:szCs w:val="16"/>
        </w:rPr>
        <w:t xml:space="preserve">State of the Digital Decade </w:t>
      </w:r>
      <w:r w:rsidR="00613DD0" w:rsidRPr="00613DD0">
        <w:rPr>
          <w:szCs w:val="16"/>
        </w:rPr>
        <w:t xml:space="preserve">rapport is </w:t>
      </w:r>
      <w:r w:rsidR="00613DD0">
        <w:rPr>
          <w:szCs w:val="16"/>
        </w:rPr>
        <w:t>e</w:t>
      </w:r>
      <w:r w:rsidR="00613DD0" w:rsidRPr="00613DD0">
        <w:rPr>
          <w:szCs w:val="16"/>
        </w:rPr>
        <w:t>en jaarverslag waarin de Commissie de digitale vooruitgang in Europa evalue</w:t>
      </w:r>
      <w:r w:rsidR="00613DD0">
        <w:rPr>
          <w:szCs w:val="16"/>
        </w:rPr>
        <w:t>ert</w:t>
      </w:r>
      <w:r w:rsidR="00613DD0" w:rsidRPr="00613DD0">
        <w:rPr>
          <w:szCs w:val="16"/>
        </w:rPr>
        <w:t xml:space="preserve"> en aanbevelingen voor concrete acties kan doen.</w:t>
      </w:r>
    </w:p>
  </w:footnote>
  <w:footnote w:id="6">
    <w:p w14:paraId="0939A270" w14:textId="77777777" w:rsidR="00FB523F" w:rsidRPr="00FB523F" w:rsidRDefault="00FB523F">
      <w:pPr>
        <w:pStyle w:val="Voetnoottekst"/>
        <w:rPr>
          <w:iCs/>
          <w:szCs w:val="16"/>
        </w:rPr>
      </w:pPr>
      <w:r>
        <w:rPr>
          <w:rStyle w:val="Voetnootmarkering"/>
        </w:rPr>
        <w:footnoteRef/>
      </w:r>
      <w:r>
        <w:t xml:space="preserve"> </w:t>
      </w:r>
      <w:r w:rsidRPr="00FB523F">
        <w:rPr>
          <w:iCs/>
          <w:szCs w:val="16"/>
        </w:rPr>
        <w:t>Kamerstuk 26643-925, 10 oktober 2022</w:t>
      </w:r>
    </w:p>
  </w:footnote>
  <w:footnote w:id="7">
    <w:p w14:paraId="03195797" w14:textId="77777777" w:rsidR="002707DF" w:rsidRDefault="002707DF">
      <w:pPr>
        <w:pStyle w:val="Voetnoottekst"/>
      </w:pPr>
      <w:r>
        <w:rPr>
          <w:rStyle w:val="Voetnootmarkering"/>
        </w:rPr>
        <w:footnoteRef/>
      </w:r>
      <w:r>
        <w:t xml:space="preserve"> Tweede Kamer, vergaderjaar 2021–2022, 31 288, nr. 964</w:t>
      </w:r>
    </w:p>
  </w:footnote>
  <w:footnote w:id="8">
    <w:p w14:paraId="7E41F878" w14:textId="77777777" w:rsidR="002707DF" w:rsidRDefault="002707DF">
      <w:pPr>
        <w:pStyle w:val="Voetnoottekst"/>
      </w:pPr>
      <w:r>
        <w:rPr>
          <w:rStyle w:val="Voetnootmarkering"/>
        </w:rPr>
        <w:footnoteRef/>
      </w:r>
      <w:r>
        <w:t xml:space="preserve"> Tweede Kamer, vergaderjaar 2021–2022, 31 288, nr. 964</w:t>
      </w:r>
    </w:p>
  </w:footnote>
  <w:footnote w:id="9">
    <w:p w14:paraId="43E611C7" w14:textId="77777777" w:rsidR="002707DF" w:rsidRDefault="002707DF" w:rsidP="002707DF">
      <w:pPr>
        <w:pStyle w:val="Voetnoottekst"/>
      </w:pPr>
      <w:r>
        <w:rPr>
          <w:rStyle w:val="Voetnootmarkering"/>
        </w:rPr>
        <w:footnoteRef/>
      </w:r>
      <w:r>
        <w:t xml:space="preserve"> Tweede Kamer, vergaderjaar 2018-2019, 29 338 nr. 206</w:t>
      </w:r>
    </w:p>
    <w:p w14:paraId="6C44C559" w14:textId="77777777" w:rsidR="002707DF" w:rsidRDefault="002707DF">
      <w:pPr>
        <w:pStyle w:val="Voetnoottekst"/>
      </w:pPr>
    </w:p>
  </w:footnote>
  <w:footnote w:id="10">
    <w:p w14:paraId="2553E12B" w14:textId="77777777" w:rsidR="00641C9F" w:rsidRDefault="00641C9F">
      <w:pPr>
        <w:pStyle w:val="Voetnoottekst"/>
      </w:pPr>
      <w:r>
        <w:rPr>
          <w:rStyle w:val="Voetnootmarkering"/>
        </w:rPr>
        <w:footnoteRef/>
      </w:r>
      <w:r>
        <w:t xml:space="preserve"> Kamerstuk </w:t>
      </w:r>
      <w:r w:rsidRPr="00DD7D55">
        <w:t>29544</w:t>
      </w:r>
      <w:r>
        <w:t>-</w:t>
      </w:r>
      <w:r w:rsidRPr="00DD7D55">
        <w:t>1173</w:t>
      </w:r>
      <w:r>
        <w:t>, 3 februari 2023</w:t>
      </w:r>
    </w:p>
  </w:footnote>
  <w:footnote w:id="11">
    <w:p w14:paraId="1DF1EF96" w14:textId="77777777" w:rsidR="00D4223F" w:rsidRDefault="00D4223F" w:rsidP="00D4223F">
      <w:pPr>
        <w:pStyle w:val="Voetnoottekst"/>
      </w:pPr>
      <w:r>
        <w:rPr>
          <w:rStyle w:val="Voetnootmarkering"/>
        </w:rPr>
        <w:footnoteRef/>
      </w:r>
      <w:r>
        <w:t xml:space="preserve"> Onder meer via het EU Computer Security Incident Response Teams Netwerk, het Cyber Crisis Liaison Organisation Netwerk (CyCLONe), de Netwerk- en Informatiebeveiliging (NIB) Samenwerkingsgroep, en de Raadswerkgroep Cyber, de European Government CERT Group (ECG), Europees Justitieel Cybercrime Netwerk (EJCN)</w:t>
      </w:r>
    </w:p>
    <w:p w14:paraId="65811379" w14:textId="77777777" w:rsidR="00D4223F" w:rsidRDefault="00D4223F" w:rsidP="00D4223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3A5E1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823992"/>
    <w:multiLevelType w:val="hybridMultilevel"/>
    <w:tmpl w:val="37925086"/>
    <w:lvl w:ilvl="0" w:tplc="052836E4">
      <w:numFmt w:val="bullet"/>
      <w:lvlText w:val="-"/>
      <w:lvlJc w:val="left"/>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D14BAE"/>
    <w:multiLevelType w:val="hybridMultilevel"/>
    <w:tmpl w:val="53848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2DB50B2"/>
    <w:multiLevelType w:val="hybridMultilevel"/>
    <w:tmpl w:val="F6BC11E0"/>
    <w:lvl w:ilvl="0" w:tplc="B24451C8">
      <w:numFmt w:val="bullet"/>
      <w:lvlText w:val="-"/>
      <w:lvlJc w:val="left"/>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3003D0"/>
    <w:multiLevelType w:val="hybridMultilevel"/>
    <w:tmpl w:val="E8361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62580A"/>
    <w:multiLevelType w:val="hybridMultilevel"/>
    <w:tmpl w:val="9CF03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C34541"/>
    <w:multiLevelType w:val="hybridMultilevel"/>
    <w:tmpl w:val="A1EC81EC"/>
    <w:lvl w:ilvl="0" w:tplc="ADF62A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CFA7BF9"/>
    <w:multiLevelType w:val="hybridMultilevel"/>
    <w:tmpl w:val="912E1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hint="default"/>
      </w:rPr>
    </w:lvl>
    <w:lvl w:ilvl="1" w:tplc="F2BCAF04">
      <w:start w:val="1"/>
      <w:numFmt w:val="bullet"/>
      <w:lvlText w:val="•"/>
      <w:lvlJc w:val="left"/>
      <w:pPr>
        <w:tabs>
          <w:tab w:val="num" w:pos="1440"/>
        </w:tabs>
        <w:ind w:left="1440" w:hanging="360"/>
      </w:pPr>
      <w:rPr>
        <w:rFonts w:ascii="Arial" w:hAnsi="Arial" w:hint="default"/>
      </w:rPr>
    </w:lvl>
    <w:lvl w:ilvl="2" w:tplc="AE5A25BE" w:tentative="1">
      <w:start w:val="1"/>
      <w:numFmt w:val="bullet"/>
      <w:lvlText w:val="•"/>
      <w:lvlJc w:val="left"/>
      <w:pPr>
        <w:tabs>
          <w:tab w:val="num" w:pos="2160"/>
        </w:tabs>
        <w:ind w:left="2160" w:hanging="360"/>
      </w:pPr>
      <w:rPr>
        <w:rFonts w:ascii="Arial" w:hAnsi="Arial" w:hint="default"/>
      </w:rPr>
    </w:lvl>
    <w:lvl w:ilvl="3" w:tplc="50DC700C" w:tentative="1">
      <w:start w:val="1"/>
      <w:numFmt w:val="bullet"/>
      <w:lvlText w:val="•"/>
      <w:lvlJc w:val="left"/>
      <w:pPr>
        <w:tabs>
          <w:tab w:val="num" w:pos="2880"/>
        </w:tabs>
        <w:ind w:left="2880" w:hanging="360"/>
      </w:pPr>
      <w:rPr>
        <w:rFonts w:ascii="Arial" w:hAnsi="Arial" w:hint="default"/>
      </w:rPr>
    </w:lvl>
    <w:lvl w:ilvl="4" w:tplc="D72EB19C" w:tentative="1">
      <w:start w:val="1"/>
      <w:numFmt w:val="bullet"/>
      <w:lvlText w:val="•"/>
      <w:lvlJc w:val="left"/>
      <w:pPr>
        <w:tabs>
          <w:tab w:val="num" w:pos="3600"/>
        </w:tabs>
        <w:ind w:left="3600" w:hanging="360"/>
      </w:pPr>
      <w:rPr>
        <w:rFonts w:ascii="Arial" w:hAnsi="Arial" w:hint="default"/>
      </w:rPr>
    </w:lvl>
    <w:lvl w:ilvl="5" w:tplc="3BFEE5DC" w:tentative="1">
      <w:start w:val="1"/>
      <w:numFmt w:val="bullet"/>
      <w:lvlText w:val="•"/>
      <w:lvlJc w:val="left"/>
      <w:pPr>
        <w:tabs>
          <w:tab w:val="num" w:pos="4320"/>
        </w:tabs>
        <w:ind w:left="4320" w:hanging="360"/>
      </w:pPr>
      <w:rPr>
        <w:rFonts w:ascii="Arial" w:hAnsi="Arial" w:hint="default"/>
      </w:rPr>
    </w:lvl>
    <w:lvl w:ilvl="6" w:tplc="D876A814" w:tentative="1">
      <w:start w:val="1"/>
      <w:numFmt w:val="bullet"/>
      <w:lvlText w:val="•"/>
      <w:lvlJc w:val="left"/>
      <w:pPr>
        <w:tabs>
          <w:tab w:val="num" w:pos="5040"/>
        </w:tabs>
        <w:ind w:left="5040" w:hanging="360"/>
      </w:pPr>
      <w:rPr>
        <w:rFonts w:ascii="Arial" w:hAnsi="Arial" w:hint="default"/>
      </w:rPr>
    </w:lvl>
    <w:lvl w:ilvl="7" w:tplc="7AEAD360" w:tentative="1">
      <w:start w:val="1"/>
      <w:numFmt w:val="bullet"/>
      <w:lvlText w:val="•"/>
      <w:lvlJc w:val="left"/>
      <w:pPr>
        <w:tabs>
          <w:tab w:val="num" w:pos="5760"/>
        </w:tabs>
        <w:ind w:left="5760" w:hanging="360"/>
      </w:pPr>
      <w:rPr>
        <w:rFonts w:ascii="Arial" w:hAnsi="Arial" w:hint="default"/>
      </w:rPr>
    </w:lvl>
    <w:lvl w:ilvl="8" w:tplc="BF6413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3297786">
    <w:abstractNumId w:val="1"/>
  </w:num>
  <w:num w:numId="2" w16cid:durableId="490027938">
    <w:abstractNumId w:val="13"/>
  </w:num>
  <w:num w:numId="3" w16cid:durableId="522790211">
    <w:abstractNumId w:val="3"/>
  </w:num>
  <w:num w:numId="4" w16cid:durableId="1476989875">
    <w:abstractNumId w:val="31"/>
  </w:num>
  <w:num w:numId="5" w16cid:durableId="1685858542">
    <w:abstractNumId w:val="23"/>
  </w:num>
  <w:num w:numId="6" w16cid:durableId="1603998652">
    <w:abstractNumId w:val="20"/>
  </w:num>
  <w:num w:numId="7" w16cid:durableId="1477069106">
    <w:abstractNumId w:val="9"/>
  </w:num>
  <w:num w:numId="8" w16cid:durableId="1174151974">
    <w:abstractNumId w:val="24"/>
  </w:num>
  <w:num w:numId="9" w16cid:durableId="260187121">
    <w:abstractNumId w:val="10"/>
  </w:num>
  <w:num w:numId="10" w16cid:durableId="1802844154">
    <w:abstractNumId w:val="4"/>
  </w:num>
  <w:num w:numId="11" w16cid:durableId="2121220754">
    <w:abstractNumId w:val="8"/>
  </w:num>
  <w:num w:numId="12" w16cid:durableId="165829776">
    <w:abstractNumId w:val="11"/>
  </w:num>
  <w:num w:numId="13" w16cid:durableId="1258174204">
    <w:abstractNumId w:val="28"/>
  </w:num>
  <w:num w:numId="14" w16cid:durableId="563099795">
    <w:abstractNumId w:val="30"/>
  </w:num>
  <w:num w:numId="15" w16cid:durableId="1224871135">
    <w:abstractNumId w:val="19"/>
  </w:num>
  <w:num w:numId="16" w16cid:durableId="1637296506">
    <w:abstractNumId w:val="26"/>
  </w:num>
  <w:num w:numId="17" w16cid:durableId="1670019820">
    <w:abstractNumId w:val="17"/>
  </w:num>
  <w:num w:numId="18" w16cid:durableId="1266156834">
    <w:abstractNumId w:val="6"/>
  </w:num>
  <w:num w:numId="19" w16cid:durableId="1566259794">
    <w:abstractNumId w:val="29"/>
  </w:num>
  <w:num w:numId="20" w16cid:durableId="39598315">
    <w:abstractNumId w:val="32"/>
  </w:num>
  <w:num w:numId="21" w16cid:durableId="544757957">
    <w:abstractNumId w:val="22"/>
  </w:num>
  <w:num w:numId="22" w16cid:durableId="2010253352">
    <w:abstractNumId w:val="14"/>
  </w:num>
  <w:num w:numId="23" w16cid:durableId="607542109">
    <w:abstractNumId w:val="16"/>
  </w:num>
  <w:num w:numId="24" w16cid:durableId="89398002">
    <w:abstractNumId w:val="7"/>
  </w:num>
  <w:num w:numId="25" w16cid:durableId="2051760240">
    <w:abstractNumId w:val="2"/>
  </w:num>
  <w:num w:numId="26" w16cid:durableId="279842180">
    <w:abstractNumId w:val="15"/>
  </w:num>
  <w:num w:numId="27" w16cid:durableId="864320127">
    <w:abstractNumId w:val="12"/>
  </w:num>
  <w:num w:numId="28" w16cid:durableId="1543399524">
    <w:abstractNumId w:val="18"/>
  </w:num>
  <w:num w:numId="29" w16cid:durableId="1295021027">
    <w:abstractNumId w:val="5"/>
  </w:num>
  <w:num w:numId="30" w16cid:durableId="175461764">
    <w:abstractNumId w:val="27"/>
  </w:num>
  <w:num w:numId="31" w16cid:durableId="971246733">
    <w:abstractNumId w:val="25"/>
  </w:num>
  <w:num w:numId="32" w16cid:durableId="1752777926">
    <w:abstractNumId w:val="21"/>
  </w:num>
  <w:num w:numId="33" w16cid:durableId="5461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1467F"/>
    <w:rsid w:val="0001666A"/>
    <w:rsid w:val="00016B4C"/>
    <w:rsid w:val="00026F4E"/>
    <w:rsid w:val="000332C1"/>
    <w:rsid w:val="0005378C"/>
    <w:rsid w:val="000628C8"/>
    <w:rsid w:val="00066C36"/>
    <w:rsid w:val="00071F9B"/>
    <w:rsid w:val="0008276C"/>
    <w:rsid w:val="000836CC"/>
    <w:rsid w:val="0009105C"/>
    <w:rsid w:val="000A1164"/>
    <w:rsid w:val="000A42D6"/>
    <w:rsid w:val="000A624C"/>
    <w:rsid w:val="000A6F55"/>
    <w:rsid w:val="000B20DC"/>
    <w:rsid w:val="000B2573"/>
    <w:rsid w:val="000B2FF8"/>
    <w:rsid w:val="000C72ED"/>
    <w:rsid w:val="000D01B7"/>
    <w:rsid w:val="000D3334"/>
    <w:rsid w:val="000F4DE0"/>
    <w:rsid w:val="000F589D"/>
    <w:rsid w:val="00101DA0"/>
    <w:rsid w:val="0011058A"/>
    <w:rsid w:val="0011099F"/>
    <w:rsid w:val="00113A68"/>
    <w:rsid w:val="00113DF4"/>
    <w:rsid w:val="001178C6"/>
    <w:rsid w:val="0012782F"/>
    <w:rsid w:val="00130B5A"/>
    <w:rsid w:val="00130E6E"/>
    <w:rsid w:val="001330A3"/>
    <w:rsid w:val="00136255"/>
    <w:rsid w:val="0015651B"/>
    <w:rsid w:val="0016237B"/>
    <w:rsid w:val="00164D1E"/>
    <w:rsid w:val="0017031A"/>
    <w:rsid w:val="001711FD"/>
    <w:rsid w:val="00171400"/>
    <w:rsid w:val="001763E6"/>
    <w:rsid w:val="00176A68"/>
    <w:rsid w:val="00181C92"/>
    <w:rsid w:val="001A6D9A"/>
    <w:rsid w:val="001B3626"/>
    <w:rsid w:val="001B5287"/>
    <w:rsid w:val="001C7148"/>
    <w:rsid w:val="001D558D"/>
    <w:rsid w:val="001E0E5A"/>
    <w:rsid w:val="001E6E2F"/>
    <w:rsid w:val="001F0C62"/>
    <w:rsid w:val="0020223E"/>
    <w:rsid w:val="00204089"/>
    <w:rsid w:val="00205AAE"/>
    <w:rsid w:val="00213FCF"/>
    <w:rsid w:val="00224336"/>
    <w:rsid w:val="002255F3"/>
    <w:rsid w:val="00230CB4"/>
    <w:rsid w:val="00237359"/>
    <w:rsid w:val="00241278"/>
    <w:rsid w:val="002451CF"/>
    <w:rsid w:val="00245B56"/>
    <w:rsid w:val="00246C8B"/>
    <w:rsid w:val="00247555"/>
    <w:rsid w:val="00251118"/>
    <w:rsid w:val="00252A47"/>
    <w:rsid w:val="00253805"/>
    <w:rsid w:val="00256993"/>
    <w:rsid w:val="002573C2"/>
    <w:rsid w:val="00261B18"/>
    <w:rsid w:val="00263B88"/>
    <w:rsid w:val="00267CA4"/>
    <w:rsid w:val="002707DF"/>
    <w:rsid w:val="00275415"/>
    <w:rsid w:val="00285DF6"/>
    <w:rsid w:val="002915D5"/>
    <w:rsid w:val="002918F8"/>
    <w:rsid w:val="00294CEA"/>
    <w:rsid w:val="002A7304"/>
    <w:rsid w:val="002C1107"/>
    <w:rsid w:val="002C678C"/>
    <w:rsid w:val="002C7985"/>
    <w:rsid w:val="002D136B"/>
    <w:rsid w:val="002D269B"/>
    <w:rsid w:val="002D395F"/>
    <w:rsid w:val="002D43FE"/>
    <w:rsid w:val="002D7089"/>
    <w:rsid w:val="002E1E1F"/>
    <w:rsid w:val="002F19C4"/>
    <w:rsid w:val="002F628A"/>
    <w:rsid w:val="002F6B92"/>
    <w:rsid w:val="00312E39"/>
    <w:rsid w:val="00335A6B"/>
    <w:rsid w:val="003417F9"/>
    <w:rsid w:val="00345633"/>
    <w:rsid w:val="00345971"/>
    <w:rsid w:val="00347E36"/>
    <w:rsid w:val="00353AB6"/>
    <w:rsid w:val="00372A30"/>
    <w:rsid w:val="00373F99"/>
    <w:rsid w:val="00385750"/>
    <w:rsid w:val="00385C19"/>
    <w:rsid w:val="00386313"/>
    <w:rsid w:val="00387CE2"/>
    <w:rsid w:val="003A0D3C"/>
    <w:rsid w:val="003A4558"/>
    <w:rsid w:val="003A5C75"/>
    <w:rsid w:val="003B0797"/>
    <w:rsid w:val="003B7255"/>
    <w:rsid w:val="003B7671"/>
    <w:rsid w:val="003C4F9C"/>
    <w:rsid w:val="003D7F1A"/>
    <w:rsid w:val="003E44A7"/>
    <w:rsid w:val="003E4DF6"/>
    <w:rsid w:val="003E6571"/>
    <w:rsid w:val="003E6E9E"/>
    <w:rsid w:val="004140C1"/>
    <w:rsid w:val="00421376"/>
    <w:rsid w:val="00422D52"/>
    <w:rsid w:val="004235AE"/>
    <w:rsid w:val="00423FD7"/>
    <w:rsid w:val="00426661"/>
    <w:rsid w:val="00451D66"/>
    <w:rsid w:val="00455BF2"/>
    <w:rsid w:val="00487BE5"/>
    <w:rsid w:val="00492663"/>
    <w:rsid w:val="00494B66"/>
    <w:rsid w:val="004A1BBC"/>
    <w:rsid w:val="004B22FC"/>
    <w:rsid w:val="004C1104"/>
    <w:rsid w:val="004C2C03"/>
    <w:rsid w:val="004C7F6B"/>
    <w:rsid w:val="004D1661"/>
    <w:rsid w:val="004D433F"/>
    <w:rsid w:val="004E390E"/>
    <w:rsid w:val="004E737E"/>
    <w:rsid w:val="004E7686"/>
    <w:rsid w:val="004E7EE8"/>
    <w:rsid w:val="004F678F"/>
    <w:rsid w:val="00503AB1"/>
    <w:rsid w:val="00510788"/>
    <w:rsid w:val="00513465"/>
    <w:rsid w:val="00513C1E"/>
    <w:rsid w:val="00515191"/>
    <w:rsid w:val="005263B1"/>
    <w:rsid w:val="0052678B"/>
    <w:rsid w:val="00531A97"/>
    <w:rsid w:val="00532621"/>
    <w:rsid w:val="00540D4B"/>
    <w:rsid w:val="00550480"/>
    <w:rsid w:val="005552A7"/>
    <w:rsid w:val="005578AE"/>
    <w:rsid w:val="0058159F"/>
    <w:rsid w:val="00581680"/>
    <w:rsid w:val="00585653"/>
    <w:rsid w:val="005919D7"/>
    <w:rsid w:val="00591A05"/>
    <w:rsid w:val="0059549E"/>
    <w:rsid w:val="00595CE0"/>
    <w:rsid w:val="005A0708"/>
    <w:rsid w:val="005A12F2"/>
    <w:rsid w:val="005A4D45"/>
    <w:rsid w:val="005A798A"/>
    <w:rsid w:val="005C0BE7"/>
    <w:rsid w:val="005C3420"/>
    <w:rsid w:val="005D3ACC"/>
    <w:rsid w:val="005E08A4"/>
    <w:rsid w:val="005E107C"/>
    <w:rsid w:val="0060345F"/>
    <w:rsid w:val="00613DD0"/>
    <w:rsid w:val="00616B55"/>
    <w:rsid w:val="006259E4"/>
    <w:rsid w:val="0064006A"/>
    <w:rsid w:val="00641C9F"/>
    <w:rsid w:val="0064352A"/>
    <w:rsid w:val="00647636"/>
    <w:rsid w:val="00664827"/>
    <w:rsid w:val="00665CB9"/>
    <w:rsid w:val="006667CC"/>
    <w:rsid w:val="00667464"/>
    <w:rsid w:val="00670B6D"/>
    <w:rsid w:val="006810FB"/>
    <w:rsid w:val="00683E89"/>
    <w:rsid w:val="00687CCC"/>
    <w:rsid w:val="00691119"/>
    <w:rsid w:val="006A51AB"/>
    <w:rsid w:val="006A57F9"/>
    <w:rsid w:val="006B2B1C"/>
    <w:rsid w:val="006C30F5"/>
    <w:rsid w:val="006D3794"/>
    <w:rsid w:val="006E1C36"/>
    <w:rsid w:val="006E7C5E"/>
    <w:rsid w:val="00701C62"/>
    <w:rsid w:val="00707097"/>
    <w:rsid w:val="007365BD"/>
    <w:rsid w:val="00742156"/>
    <w:rsid w:val="00742D26"/>
    <w:rsid w:val="0074401E"/>
    <w:rsid w:val="007516F5"/>
    <w:rsid w:val="00762F05"/>
    <w:rsid w:val="00786711"/>
    <w:rsid w:val="007A526E"/>
    <w:rsid w:val="007B55EC"/>
    <w:rsid w:val="007B666C"/>
    <w:rsid w:val="007B7A4B"/>
    <w:rsid w:val="007C06C2"/>
    <w:rsid w:val="007D3EF0"/>
    <w:rsid w:val="007D6330"/>
    <w:rsid w:val="007F7321"/>
    <w:rsid w:val="008054B7"/>
    <w:rsid w:val="00820842"/>
    <w:rsid w:val="00821402"/>
    <w:rsid w:val="00821992"/>
    <w:rsid w:val="00823221"/>
    <w:rsid w:val="008250CD"/>
    <w:rsid w:val="008256C8"/>
    <w:rsid w:val="00826B7A"/>
    <w:rsid w:val="00834601"/>
    <w:rsid w:val="00835996"/>
    <w:rsid w:val="00843311"/>
    <w:rsid w:val="00847822"/>
    <w:rsid w:val="008528D9"/>
    <w:rsid w:val="00862967"/>
    <w:rsid w:val="00865D72"/>
    <w:rsid w:val="00881855"/>
    <w:rsid w:val="00881B9B"/>
    <w:rsid w:val="00881F26"/>
    <w:rsid w:val="00883130"/>
    <w:rsid w:val="00883175"/>
    <w:rsid w:val="00884D70"/>
    <w:rsid w:val="00895AA4"/>
    <w:rsid w:val="00895D18"/>
    <w:rsid w:val="008B46D3"/>
    <w:rsid w:val="008D1180"/>
    <w:rsid w:val="008D3962"/>
    <w:rsid w:val="008D6F4B"/>
    <w:rsid w:val="008D7FD9"/>
    <w:rsid w:val="008E3AA2"/>
    <w:rsid w:val="008E6D0D"/>
    <w:rsid w:val="0090128E"/>
    <w:rsid w:val="00904527"/>
    <w:rsid w:val="00904B9C"/>
    <w:rsid w:val="00904FCB"/>
    <w:rsid w:val="00907668"/>
    <w:rsid w:val="009132BA"/>
    <w:rsid w:val="00922A80"/>
    <w:rsid w:val="00933370"/>
    <w:rsid w:val="00941923"/>
    <w:rsid w:val="00954C75"/>
    <w:rsid w:val="00967F24"/>
    <w:rsid w:val="00986C8F"/>
    <w:rsid w:val="009878E4"/>
    <w:rsid w:val="00991C01"/>
    <w:rsid w:val="009A590E"/>
    <w:rsid w:val="009A5F11"/>
    <w:rsid w:val="009A722E"/>
    <w:rsid w:val="009B3EED"/>
    <w:rsid w:val="009D6BD5"/>
    <w:rsid w:val="00A02D35"/>
    <w:rsid w:val="00A07807"/>
    <w:rsid w:val="00A10605"/>
    <w:rsid w:val="00A12962"/>
    <w:rsid w:val="00A21B6F"/>
    <w:rsid w:val="00A235A1"/>
    <w:rsid w:val="00A35C00"/>
    <w:rsid w:val="00A409C5"/>
    <w:rsid w:val="00A4642B"/>
    <w:rsid w:val="00A57FAE"/>
    <w:rsid w:val="00A63B21"/>
    <w:rsid w:val="00A76194"/>
    <w:rsid w:val="00AB00CD"/>
    <w:rsid w:val="00AB30A8"/>
    <w:rsid w:val="00AC35D7"/>
    <w:rsid w:val="00AC49B7"/>
    <w:rsid w:val="00AD48E4"/>
    <w:rsid w:val="00AD4E3C"/>
    <w:rsid w:val="00AD7BBB"/>
    <w:rsid w:val="00AE077D"/>
    <w:rsid w:val="00AE5C44"/>
    <w:rsid w:val="00AE6F2A"/>
    <w:rsid w:val="00AF1324"/>
    <w:rsid w:val="00AF1340"/>
    <w:rsid w:val="00AF6FBD"/>
    <w:rsid w:val="00AF72A3"/>
    <w:rsid w:val="00B00BEF"/>
    <w:rsid w:val="00B1366A"/>
    <w:rsid w:val="00B15DBC"/>
    <w:rsid w:val="00B33B22"/>
    <w:rsid w:val="00B4378C"/>
    <w:rsid w:val="00B54D05"/>
    <w:rsid w:val="00B55AC8"/>
    <w:rsid w:val="00B64664"/>
    <w:rsid w:val="00B83EBB"/>
    <w:rsid w:val="00B908F2"/>
    <w:rsid w:val="00B93DFA"/>
    <w:rsid w:val="00BA3B51"/>
    <w:rsid w:val="00BB1B9A"/>
    <w:rsid w:val="00BB3065"/>
    <w:rsid w:val="00BB5A89"/>
    <w:rsid w:val="00BC43E7"/>
    <w:rsid w:val="00BE085A"/>
    <w:rsid w:val="00BE1DC5"/>
    <w:rsid w:val="00BE3359"/>
    <w:rsid w:val="00BF0041"/>
    <w:rsid w:val="00C02BA1"/>
    <w:rsid w:val="00C06E80"/>
    <w:rsid w:val="00C07F5C"/>
    <w:rsid w:val="00C1155D"/>
    <w:rsid w:val="00C147A3"/>
    <w:rsid w:val="00C16EE4"/>
    <w:rsid w:val="00C30F70"/>
    <w:rsid w:val="00C33AE6"/>
    <w:rsid w:val="00C7271A"/>
    <w:rsid w:val="00C72CA5"/>
    <w:rsid w:val="00C876BE"/>
    <w:rsid w:val="00C93A93"/>
    <w:rsid w:val="00C95E4C"/>
    <w:rsid w:val="00CA4436"/>
    <w:rsid w:val="00CA63AF"/>
    <w:rsid w:val="00CA6C6C"/>
    <w:rsid w:val="00CB3182"/>
    <w:rsid w:val="00CC7329"/>
    <w:rsid w:val="00CE3250"/>
    <w:rsid w:val="00CF08A7"/>
    <w:rsid w:val="00D0782F"/>
    <w:rsid w:val="00D16DF6"/>
    <w:rsid w:val="00D21F37"/>
    <w:rsid w:val="00D24B92"/>
    <w:rsid w:val="00D301A6"/>
    <w:rsid w:val="00D4223F"/>
    <w:rsid w:val="00D43C5D"/>
    <w:rsid w:val="00D44560"/>
    <w:rsid w:val="00D45863"/>
    <w:rsid w:val="00D47B40"/>
    <w:rsid w:val="00D72329"/>
    <w:rsid w:val="00D7410F"/>
    <w:rsid w:val="00D757DE"/>
    <w:rsid w:val="00D76EEF"/>
    <w:rsid w:val="00D835E0"/>
    <w:rsid w:val="00D929E9"/>
    <w:rsid w:val="00DA1C7A"/>
    <w:rsid w:val="00DB2696"/>
    <w:rsid w:val="00DB4EAD"/>
    <w:rsid w:val="00DC6797"/>
    <w:rsid w:val="00DD3CA6"/>
    <w:rsid w:val="00DE0A03"/>
    <w:rsid w:val="00DE60F7"/>
    <w:rsid w:val="00DF17DF"/>
    <w:rsid w:val="00DF1E8A"/>
    <w:rsid w:val="00DF29AD"/>
    <w:rsid w:val="00DF2D81"/>
    <w:rsid w:val="00DF47D6"/>
    <w:rsid w:val="00E03D33"/>
    <w:rsid w:val="00E12DCC"/>
    <w:rsid w:val="00E15C6A"/>
    <w:rsid w:val="00E20BC7"/>
    <w:rsid w:val="00E25563"/>
    <w:rsid w:val="00E31E21"/>
    <w:rsid w:val="00E3608E"/>
    <w:rsid w:val="00E4599E"/>
    <w:rsid w:val="00E62B06"/>
    <w:rsid w:val="00E64BCF"/>
    <w:rsid w:val="00E65395"/>
    <w:rsid w:val="00E81845"/>
    <w:rsid w:val="00E910FE"/>
    <w:rsid w:val="00E93BA0"/>
    <w:rsid w:val="00E97351"/>
    <w:rsid w:val="00EA1A06"/>
    <w:rsid w:val="00EA261B"/>
    <w:rsid w:val="00EA2C74"/>
    <w:rsid w:val="00EA4C91"/>
    <w:rsid w:val="00EA531E"/>
    <w:rsid w:val="00EC68DA"/>
    <w:rsid w:val="00EC69CC"/>
    <w:rsid w:val="00ED318C"/>
    <w:rsid w:val="00ED789A"/>
    <w:rsid w:val="00EE6D8C"/>
    <w:rsid w:val="00EF5C95"/>
    <w:rsid w:val="00F2021C"/>
    <w:rsid w:val="00F52B9B"/>
    <w:rsid w:val="00F534CA"/>
    <w:rsid w:val="00F54AFF"/>
    <w:rsid w:val="00F640A5"/>
    <w:rsid w:val="00F643D2"/>
    <w:rsid w:val="00F80C9D"/>
    <w:rsid w:val="00F83BB6"/>
    <w:rsid w:val="00F8574F"/>
    <w:rsid w:val="00F91E50"/>
    <w:rsid w:val="00F95935"/>
    <w:rsid w:val="00F95DB6"/>
    <w:rsid w:val="00F96DE8"/>
    <w:rsid w:val="00F9751F"/>
    <w:rsid w:val="00FA0D4B"/>
    <w:rsid w:val="00FA49BE"/>
    <w:rsid w:val="00FB216B"/>
    <w:rsid w:val="00FB523F"/>
    <w:rsid w:val="00FD0CBD"/>
    <w:rsid w:val="00FD6679"/>
    <w:rsid w:val="00FE7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D6287"/>
  <w15:chartTrackingRefBased/>
  <w15:docId w15:val="{281B5694-87D1-4BC2-A4D0-0F59BD9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sid w:val="00204089"/>
    <w:rPr>
      <w:rFonts w:ascii="Verdana" w:hAnsi="Verdana"/>
      <w:sz w:val="16"/>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D301A6"/>
    <w:pPr>
      <w:numPr>
        <w:numId w:val="24"/>
      </w:numPr>
      <w:spacing w:line="360" w:lineRule="auto"/>
    </w:pPr>
    <w:rPr>
      <w:bCs/>
      <w:sz w:val="28"/>
      <w:lang w:val="en-GB" w:eastAsia="nl-NL"/>
    </w:rPr>
  </w:style>
  <w:style w:type="character" w:styleId="Onopgelostemelding">
    <w:name w:val="Unresolved Mention"/>
    <w:uiPriority w:val="99"/>
    <w:semiHidden/>
    <w:unhideWhenUsed/>
    <w:rsid w:val="00A07807"/>
    <w:rPr>
      <w:color w:val="605E5C"/>
      <w:shd w:val="clear" w:color="auto" w:fill="E1DFDD"/>
    </w:rPr>
  </w:style>
  <w:style w:type="paragraph" w:styleId="Revisie">
    <w:name w:val="Revision"/>
    <w:hidden/>
    <w:uiPriority w:val="99"/>
    <w:semiHidden/>
    <w:rsid w:val="00883175"/>
    <w:rPr>
      <w:sz w:val="22"/>
      <w:lang w:eastAsia="zh-CN"/>
    </w:rPr>
  </w:style>
  <w:style w:type="character" w:customStyle="1" w:styleId="VoetnoottekstChar">
    <w:name w:val="Voetnoottekst Char"/>
    <w:link w:val="Voetnoottekst"/>
    <w:semiHidden/>
    <w:rsid w:val="00D4223F"/>
    <w:rPr>
      <w:rFonts w:ascii="Verdana" w:hAnsi="Verdana"/>
      <w:sz w:val="16"/>
      <w:lang w:eastAsia="zh-CN"/>
    </w:rPr>
  </w:style>
  <w:style w:type="paragraph" w:styleId="Lijstopsomteken">
    <w:name w:val="List Bullet"/>
    <w:basedOn w:val="Standaard"/>
    <w:rsid w:val="00EA2C74"/>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699">
      <w:bodyDiv w:val="1"/>
      <w:marLeft w:val="0"/>
      <w:marRight w:val="0"/>
      <w:marTop w:val="0"/>
      <w:marBottom w:val="0"/>
      <w:divBdr>
        <w:top w:val="none" w:sz="0" w:space="0" w:color="auto"/>
        <w:left w:val="none" w:sz="0" w:space="0" w:color="auto"/>
        <w:bottom w:val="none" w:sz="0" w:space="0" w:color="auto"/>
        <w:right w:val="none" w:sz="0" w:space="0" w:color="auto"/>
      </w:divBdr>
    </w:div>
    <w:div w:id="87579458">
      <w:bodyDiv w:val="1"/>
      <w:marLeft w:val="0"/>
      <w:marRight w:val="0"/>
      <w:marTop w:val="0"/>
      <w:marBottom w:val="0"/>
      <w:divBdr>
        <w:top w:val="none" w:sz="0" w:space="0" w:color="auto"/>
        <w:left w:val="none" w:sz="0" w:space="0" w:color="auto"/>
        <w:bottom w:val="none" w:sz="0" w:space="0" w:color="auto"/>
        <w:right w:val="none" w:sz="0" w:space="0" w:color="auto"/>
      </w:divBdr>
    </w:div>
    <w:div w:id="252521175">
      <w:bodyDiv w:val="1"/>
      <w:marLeft w:val="0"/>
      <w:marRight w:val="0"/>
      <w:marTop w:val="0"/>
      <w:marBottom w:val="0"/>
      <w:divBdr>
        <w:top w:val="none" w:sz="0" w:space="0" w:color="auto"/>
        <w:left w:val="none" w:sz="0" w:space="0" w:color="auto"/>
        <w:bottom w:val="none" w:sz="0" w:space="0" w:color="auto"/>
        <w:right w:val="none" w:sz="0" w:space="0" w:color="auto"/>
      </w:divBdr>
    </w:div>
    <w:div w:id="254902072">
      <w:bodyDiv w:val="1"/>
      <w:marLeft w:val="0"/>
      <w:marRight w:val="0"/>
      <w:marTop w:val="0"/>
      <w:marBottom w:val="0"/>
      <w:divBdr>
        <w:top w:val="none" w:sz="0" w:space="0" w:color="auto"/>
        <w:left w:val="none" w:sz="0" w:space="0" w:color="auto"/>
        <w:bottom w:val="none" w:sz="0" w:space="0" w:color="auto"/>
        <w:right w:val="none" w:sz="0" w:space="0" w:color="auto"/>
      </w:divBdr>
    </w:div>
    <w:div w:id="443426929">
      <w:bodyDiv w:val="1"/>
      <w:marLeft w:val="0"/>
      <w:marRight w:val="0"/>
      <w:marTop w:val="0"/>
      <w:marBottom w:val="0"/>
      <w:divBdr>
        <w:top w:val="none" w:sz="0" w:space="0" w:color="auto"/>
        <w:left w:val="none" w:sz="0" w:space="0" w:color="auto"/>
        <w:bottom w:val="none" w:sz="0" w:space="0" w:color="auto"/>
        <w:right w:val="none" w:sz="0" w:space="0" w:color="auto"/>
      </w:divBdr>
    </w:div>
    <w:div w:id="551232164">
      <w:bodyDiv w:val="1"/>
      <w:marLeft w:val="0"/>
      <w:marRight w:val="0"/>
      <w:marTop w:val="0"/>
      <w:marBottom w:val="0"/>
      <w:divBdr>
        <w:top w:val="none" w:sz="0" w:space="0" w:color="auto"/>
        <w:left w:val="none" w:sz="0" w:space="0" w:color="auto"/>
        <w:bottom w:val="none" w:sz="0" w:space="0" w:color="auto"/>
        <w:right w:val="none" w:sz="0" w:space="0" w:color="auto"/>
      </w:divBdr>
    </w:div>
    <w:div w:id="581648033">
      <w:bodyDiv w:val="1"/>
      <w:marLeft w:val="0"/>
      <w:marRight w:val="0"/>
      <w:marTop w:val="0"/>
      <w:marBottom w:val="0"/>
      <w:divBdr>
        <w:top w:val="none" w:sz="0" w:space="0" w:color="auto"/>
        <w:left w:val="none" w:sz="0" w:space="0" w:color="auto"/>
        <w:bottom w:val="none" w:sz="0" w:space="0" w:color="auto"/>
        <w:right w:val="none" w:sz="0" w:space="0" w:color="auto"/>
      </w:divBdr>
    </w:div>
    <w:div w:id="613446769">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23299509">
      <w:bodyDiv w:val="1"/>
      <w:marLeft w:val="0"/>
      <w:marRight w:val="0"/>
      <w:marTop w:val="0"/>
      <w:marBottom w:val="0"/>
      <w:divBdr>
        <w:top w:val="none" w:sz="0" w:space="0" w:color="auto"/>
        <w:left w:val="none" w:sz="0" w:space="0" w:color="auto"/>
        <w:bottom w:val="none" w:sz="0" w:space="0" w:color="auto"/>
        <w:right w:val="none" w:sz="0" w:space="0" w:color="auto"/>
      </w:divBdr>
    </w:div>
    <w:div w:id="952977896">
      <w:bodyDiv w:val="1"/>
      <w:marLeft w:val="0"/>
      <w:marRight w:val="0"/>
      <w:marTop w:val="0"/>
      <w:marBottom w:val="0"/>
      <w:divBdr>
        <w:top w:val="none" w:sz="0" w:space="0" w:color="auto"/>
        <w:left w:val="none" w:sz="0" w:space="0" w:color="auto"/>
        <w:bottom w:val="none" w:sz="0" w:space="0" w:color="auto"/>
        <w:right w:val="none" w:sz="0" w:space="0" w:color="auto"/>
      </w:divBdr>
    </w:div>
    <w:div w:id="964694455">
      <w:bodyDiv w:val="1"/>
      <w:marLeft w:val="0"/>
      <w:marRight w:val="0"/>
      <w:marTop w:val="0"/>
      <w:marBottom w:val="0"/>
      <w:divBdr>
        <w:top w:val="none" w:sz="0" w:space="0" w:color="auto"/>
        <w:left w:val="none" w:sz="0" w:space="0" w:color="auto"/>
        <w:bottom w:val="none" w:sz="0" w:space="0" w:color="auto"/>
        <w:right w:val="none" w:sz="0" w:space="0" w:color="auto"/>
      </w:divBdr>
    </w:div>
    <w:div w:id="1014498132">
      <w:bodyDiv w:val="1"/>
      <w:marLeft w:val="0"/>
      <w:marRight w:val="0"/>
      <w:marTop w:val="0"/>
      <w:marBottom w:val="0"/>
      <w:divBdr>
        <w:top w:val="none" w:sz="0" w:space="0" w:color="auto"/>
        <w:left w:val="none" w:sz="0" w:space="0" w:color="auto"/>
        <w:bottom w:val="none" w:sz="0" w:space="0" w:color="auto"/>
        <w:right w:val="none" w:sz="0" w:space="0" w:color="auto"/>
      </w:divBdr>
    </w:div>
    <w:div w:id="1261181895">
      <w:bodyDiv w:val="1"/>
      <w:marLeft w:val="0"/>
      <w:marRight w:val="0"/>
      <w:marTop w:val="0"/>
      <w:marBottom w:val="0"/>
      <w:divBdr>
        <w:top w:val="none" w:sz="0" w:space="0" w:color="auto"/>
        <w:left w:val="none" w:sz="0" w:space="0" w:color="auto"/>
        <w:bottom w:val="none" w:sz="0" w:space="0" w:color="auto"/>
        <w:right w:val="none" w:sz="0" w:space="0" w:color="auto"/>
      </w:divBdr>
    </w:div>
    <w:div w:id="1354846593">
      <w:bodyDiv w:val="1"/>
      <w:marLeft w:val="0"/>
      <w:marRight w:val="0"/>
      <w:marTop w:val="0"/>
      <w:marBottom w:val="0"/>
      <w:divBdr>
        <w:top w:val="none" w:sz="0" w:space="0" w:color="auto"/>
        <w:left w:val="none" w:sz="0" w:space="0" w:color="auto"/>
        <w:bottom w:val="none" w:sz="0" w:space="0" w:color="auto"/>
        <w:right w:val="none" w:sz="0" w:space="0" w:color="auto"/>
      </w:divBdr>
    </w:div>
    <w:div w:id="1463574188">
      <w:bodyDiv w:val="1"/>
      <w:marLeft w:val="0"/>
      <w:marRight w:val="0"/>
      <w:marTop w:val="0"/>
      <w:marBottom w:val="0"/>
      <w:divBdr>
        <w:top w:val="none" w:sz="0" w:space="0" w:color="auto"/>
        <w:left w:val="none" w:sz="0" w:space="0" w:color="auto"/>
        <w:bottom w:val="none" w:sz="0" w:space="0" w:color="auto"/>
        <w:right w:val="none" w:sz="0" w:space="0" w:color="auto"/>
      </w:divBdr>
    </w:div>
    <w:div w:id="1522939258">
      <w:bodyDiv w:val="1"/>
      <w:marLeft w:val="0"/>
      <w:marRight w:val="0"/>
      <w:marTop w:val="0"/>
      <w:marBottom w:val="0"/>
      <w:divBdr>
        <w:top w:val="none" w:sz="0" w:space="0" w:color="auto"/>
        <w:left w:val="none" w:sz="0" w:space="0" w:color="auto"/>
        <w:bottom w:val="none" w:sz="0" w:space="0" w:color="auto"/>
        <w:right w:val="none" w:sz="0" w:space="0" w:color="auto"/>
      </w:divBdr>
    </w:div>
    <w:div w:id="1610896973">
      <w:bodyDiv w:val="1"/>
      <w:marLeft w:val="0"/>
      <w:marRight w:val="0"/>
      <w:marTop w:val="0"/>
      <w:marBottom w:val="0"/>
      <w:divBdr>
        <w:top w:val="none" w:sz="0" w:space="0" w:color="auto"/>
        <w:left w:val="none" w:sz="0" w:space="0" w:color="auto"/>
        <w:bottom w:val="none" w:sz="0" w:space="0" w:color="auto"/>
        <w:right w:val="none" w:sz="0" w:space="0" w:color="auto"/>
      </w:divBdr>
    </w:div>
    <w:div w:id="1617903809">
      <w:bodyDiv w:val="1"/>
      <w:marLeft w:val="0"/>
      <w:marRight w:val="0"/>
      <w:marTop w:val="0"/>
      <w:marBottom w:val="0"/>
      <w:divBdr>
        <w:top w:val="none" w:sz="0" w:space="0" w:color="auto"/>
        <w:left w:val="none" w:sz="0" w:space="0" w:color="auto"/>
        <w:bottom w:val="none" w:sz="0" w:space="0" w:color="auto"/>
        <w:right w:val="none" w:sz="0" w:space="0" w:color="auto"/>
      </w:divBdr>
    </w:div>
    <w:div w:id="1624464441">
      <w:bodyDiv w:val="1"/>
      <w:marLeft w:val="0"/>
      <w:marRight w:val="0"/>
      <w:marTop w:val="0"/>
      <w:marBottom w:val="0"/>
      <w:divBdr>
        <w:top w:val="none" w:sz="0" w:space="0" w:color="auto"/>
        <w:left w:val="none" w:sz="0" w:space="0" w:color="auto"/>
        <w:bottom w:val="none" w:sz="0" w:space="0" w:color="auto"/>
        <w:right w:val="none" w:sz="0" w:space="0" w:color="auto"/>
      </w:divBdr>
    </w:div>
    <w:div w:id="1648626954">
      <w:bodyDiv w:val="1"/>
      <w:marLeft w:val="0"/>
      <w:marRight w:val="0"/>
      <w:marTop w:val="0"/>
      <w:marBottom w:val="0"/>
      <w:divBdr>
        <w:top w:val="none" w:sz="0" w:space="0" w:color="auto"/>
        <w:left w:val="none" w:sz="0" w:space="0" w:color="auto"/>
        <w:bottom w:val="none" w:sz="0" w:space="0" w:color="auto"/>
        <w:right w:val="none" w:sz="0" w:space="0" w:color="auto"/>
      </w:divBdr>
    </w:div>
    <w:div w:id="1672486140">
      <w:bodyDiv w:val="1"/>
      <w:marLeft w:val="0"/>
      <w:marRight w:val="0"/>
      <w:marTop w:val="0"/>
      <w:marBottom w:val="0"/>
      <w:divBdr>
        <w:top w:val="none" w:sz="0" w:space="0" w:color="auto"/>
        <w:left w:val="none" w:sz="0" w:space="0" w:color="auto"/>
        <w:bottom w:val="none" w:sz="0" w:space="0" w:color="auto"/>
        <w:right w:val="none" w:sz="0" w:space="0" w:color="auto"/>
      </w:divBdr>
    </w:div>
    <w:div w:id="1679892366">
      <w:bodyDiv w:val="1"/>
      <w:marLeft w:val="0"/>
      <w:marRight w:val="0"/>
      <w:marTop w:val="0"/>
      <w:marBottom w:val="0"/>
      <w:divBdr>
        <w:top w:val="none" w:sz="0" w:space="0" w:color="auto"/>
        <w:left w:val="none" w:sz="0" w:space="0" w:color="auto"/>
        <w:bottom w:val="none" w:sz="0" w:space="0" w:color="auto"/>
        <w:right w:val="none" w:sz="0" w:space="0" w:color="auto"/>
      </w:divBdr>
    </w:div>
    <w:div w:id="1847672109">
      <w:bodyDiv w:val="1"/>
      <w:marLeft w:val="0"/>
      <w:marRight w:val="0"/>
      <w:marTop w:val="0"/>
      <w:marBottom w:val="0"/>
      <w:divBdr>
        <w:top w:val="none" w:sz="0" w:space="0" w:color="auto"/>
        <w:left w:val="none" w:sz="0" w:space="0" w:color="auto"/>
        <w:bottom w:val="none" w:sz="0" w:space="0" w:color="auto"/>
        <w:right w:val="none" w:sz="0" w:space="0" w:color="auto"/>
      </w:divBdr>
    </w:div>
    <w:div w:id="1877497390">
      <w:bodyDiv w:val="1"/>
      <w:marLeft w:val="0"/>
      <w:marRight w:val="0"/>
      <w:marTop w:val="0"/>
      <w:marBottom w:val="0"/>
      <w:divBdr>
        <w:top w:val="none" w:sz="0" w:space="0" w:color="auto"/>
        <w:left w:val="none" w:sz="0" w:space="0" w:color="auto"/>
        <w:bottom w:val="none" w:sz="0" w:space="0" w:color="auto"/>
        <w:right w:val="none" w:sz="0" w:space="0" w:color="auto"/>
      </w:divBdr>
    </w:div>
    <w:div w:id="1879195449">
      <w:bodyDiv w:val="1"/>
      <w:marLeft w:val="0"/>
      <w:marRight w:val="0"/>
      <w:marTop w:val="0"/>
      <w:marBottom w:val="0"/>
      <w:divBdr>
        <w:top w:val="none" w:sz="0" w:space="0" w:color="auto"/>
        <w:left w:val="none" w:sz="0" w:space="0" w:color="auto"/>
        <w:bottom w:val="none" w:sz="0" w:space="0" w:color="auto"/>
        <w:right w:val="none" w:sz="0" w:space="0" w:color="auto"/>
      </w:divBdr>
    </w:div>
    <w:div w:id="2026787889">
      <w:bodyDiv w:val="1"/>
      <w:marLeft w:val="0"/>
      <w:marRight w:val="0"/>
      <w:marTop w:val="0"/>
      <w:marBottom w:val="0"/>
      <w:divBdr>
        <w:top w:val="none" w:sz="0" w:space="0" w:color="auto"/>
        <w:left w:val="none" w:sz="0" w:space="0" w:color="auto"/>
        <w:bottom w:val="none" w:sz="0" w:space="0" w:color="auto"/>
        <w:right w:val="none" w:sz="0" w:space="0" w:color="auto"/>
      </w:divBdr>
    </w:div>
    <w:div w:id="2040663123">
      <w:bodyDiv w:val="1"/>
      <w:marLeft w:val="0"/>
      <w:marRight w:val="0"/>
      <w:marTop w:val="0"/>
      <w:marBottom w:val="0"/>
      <w:divBdr>
        <w:top w:val="none" w:sz="0" w:space="0" w:color="auto"/>
        <w:left w:val="none" w:sz="0" w:space="0" w:color="auto"/>
        <w:bottom w:val="none" w:sz="0" w:space="0" w:color="auto"/>
        <w:right w:val="none" w:sz="0" w:space="0" w:color="auto"/>
      </w:divBdr>
    </w:div>
    <w:div w:id="2073657271">
      <w:bodyDiv w:val="1"/>
      <w:marLeft w:val="0"/>
      <w:marRight w:val="0"/>
      <w:marTop w:val="0"/>
      <w:marBottom w:val="0"/>
      <w:divBdr>
        <w:top w:val="none" w:sz="0" w:space="0" w:color="auto"/>
        <w:left w:val="none" w:sz="0" w:space="0" w:color="auto"/>
        <w:bottom w:val="none" w:sz="0" w:space="0" w:color="auto"/>
        <w:right w:val="none" w:sz="0" w:space="0" w:color="auto"/>
      </w:divBdr>
    </w:div>
    <w:div w:id="20900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OM%3A2023%3A207%3AFIN&amp;qid=1681937863727"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9237-2022-INIT/en/pdf" TargetMode="External"/><Relationship Id="rId2" Type="http://schemas.openxmlformats.org/officeDocument/2006/relationships/hyperlink" Target="https://digital-strategy.ec.europa.eu/en/library/proposed-regulation-managed-security-services-amendment" TargetMode="External"/><Relationship Id="rId1" Type="http://schemas.openxmlformats.org/officeDocument/2006/relationships/hyperlink" Target="https://digital-strategy.ec.europa.eu/en/library/proposed-regulation-cyber-solidarity-act" TargetMode="External"/><Relationship Id="rId4" Type="http://schemas.openxmlformats.org/officeDocument/2006/relationships/hyperlink" Target="https://digital-strategy.ec.europa.eu/en/news/eu-countries-commit-boost-participation-women-digit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3923</ap:Words>
  <ap:Characters>21577</ap:Characters>
  <ap:DocSecurity>0</ap:DocSecurity>
  <ap:Lines>179</ap:Lines>
  <ap:Paragraphs>50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25450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2017-08-24T08:07:00.0000000Z</lastPrinted>
  <dcterms:created xsi:type="dcterms:W3CDTF">2023-05-25T08:05:00.0000000Z</dcterms:created>
  <dcterms:modified xsi:type="dcterms:W3CDTF">2023-05-25T08:05:00.0000000Z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0x0101009FFE7A2FBA144D4699EC54818DF680F2008F94468F830516449677E79906EA42CD</vt:lpwstr>
  </property>
  <property fmtid="{D5CDD505-2E9C-101B-9397-08002B2CF9AE}" pid="12" name="_dlc_DocIdItemGuid">
    <vt:lpwstr>46d646ff-3b36-4c8e-b081-0e0c332453f6</vt:lpwstr>
  </property>
  <property fmtid="{D5CDD505-2E9C-101B-9397-08002B2CF9AE}" pid="13" name="_docset_NoMedatataSyncRequired">
    <vt:lpwstr>False</vt:lpwstr>
  </property>
</Properties>
</file>